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F" w:rsidRDefault="00D57D5F" w:rsidP="00D57D5F">
      <w:pPr>
        <w:pStyle w:val="Standard"/>
        <w:rPr>
          <w:b/>
          <w:lang w:val="pl-PL"/>
        </w:rPr>
      </w:pPr>
    </w:p>
    <w:p w:rsidR="00D57D5F" w:rsidRDefault="00D57D5F" w:rsidP="00D57D5F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KRYTERIA WYBORU DLA  PRZEDSIĘWZIĘĆ: </w:t>
      </w:r>
    </w:p>
    <w:p w:rsidR="00D57D5F" w:rsidRPr="00204E6F" w:rsidRDefault="00D57D5F" w:rsidP="00D57D5F">
      <w:pPr>
        <w:pStyle w:val="Standard"/>
        <w:rPr>
          <w:b/>
          <w:sz w:val="20"/>
          <w:szCs w:val="20"/>
          <w:lang w:val="pl-PL"/>
        </w:rPr>
      </w:pPr>
      <w:r w:rsidRPr="00204E6F">
        <w:rPr>
          <w:b/>
          <w:sz w:val="20"/>
          <w:szCs w:val="20"/>
          <w:lang w:val="pl-PL"/>
        </w:rPr>
        <w:t xml:space="preserve">1.2.2. Organizacja szkoleń i spotkań integracyjno aktywizujących dedykowanych </w:t>
      </w:r>
      <w:r w:rsidR="00D56E85">
        <w:rPr>
          <w:b/>
          <w:sz w:val="20"/>
          <w:szCs w:val="20"/>
          <w:lang w:val="pl-PL"/>
        </w:rPr>
        <w:t xml:space="preserve">osobom z grup </w:t>
      </w:r>
      <w:r w:rsidR="00F46A85">
        <w:rPr>
          <w:b/>
          <w:sz w:val="20"/>
          <w:szCs w:val="20"/>
          <w:lang w:val="pl-PL"/>
        </w:rPr>
        <w:t>defaworyzowanych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1.2.3. Integracja międzypokoleniowa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1.2.4. Młodzi rodzice na rynku pracy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1.3.2. Promocja obszaru LGD w tym promocja produktów i usług lokalnych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1.3.3 Zachowanie dziedzictwa lokalnego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1.3.4. Wzmacnianie świadomości ekologicznej mieszkańców obszaru LGD</w:t>
      </w:r>
    </w:p>
    <w:p w:rsidR="00D57D5F" w:rsidRDefault="00D57D5F" w:rsidP="00D57D5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358"/>
        <w:gridCol w:w="1124"/>
        <w:gridCol w:w="3453"/>
        <w:gridCol w:w="1807"/>
      </w:tblGrid>
      <w:tr w:rsidR="00D57D5F" w:rsidRPr="00053E2F" w:rsidTr="006E7DA4">
        <w:tc>
          <w:tcPr>
            <w:tcW w:w="570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358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53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807" w:type="dxa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przyczynia się do rozwiązania zdiagnozowanego problemu conajmniej 2</w:t>
            </w:r>
            <w:r>
              <w:rPr>
                <w:sz w:val="20"/>
                <w:szCs w:val="20"/>
                <w:lang w:val="pl-PL"/>
              </w:rPr>
              <w:t xml:space="preserve"> grup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defaworyzowanych.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niwelowania słabych stron wykazanych w analizie SWOT min. brak odpowiedniego zagospodarowania zasobów przyrodniczych i kulturowych, zbyt mało ofert skierowanych do seniorów.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dofinansowanie ze szczegółowym  opisem 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przyczynia się do rozwiązania zdiagnozowanego problemu tylko 1 grupy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Defaworyzowanej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nie przyczynia się do rozwiązania zdiagnozowanych problemów grup defaworyzowanych.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będzie realizowana z więcej niż 1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 realizowane z kilkoma partnerami ze względu na realizację celu szczegółowego „Pobudzanie aktywności społecznej przedstawicieli grup defaworyzowanych“. </w:t>
            </w:r>
          </w:p>
        </w:tc>
        <w:tc>
          <w:tcPr>
            <w:tcW w:w="1807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 porozumienie  partnerskie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z wyszczególnionymi </w:t>
            </w:r>
            <w:r>
              <w:rPr>
                <w:sz w:val="18"/>
                <w:szCs w:val="18"/>
                <w:lang w:val="pl-PL"/>
              </w:rPr>
              <w:t>zadaniami dla każdego partnera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tylko </w:t>
            </w:r>
          </w:p>
          <w:p w:rsidR="00D57D5F" w:rsidRPr="00271DA9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1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nie będzie realizowana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partnerstwie.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8A20C2" w:rsidRPr="008A20C2" w:rsidTr="006E7DA4">
        <w:tc>
          <w:tcPr>
            <w:tcW w:w="570" w:type="dxa"/>
            <w:vMerge w:val="restart"/>
          </w:tcPr>
          <w:p w:rsidR="00D56E85" w:rsidRPr="008A20C2" w:rsidRDefault="00D56E85" w:rsidP="006E7DA4">
            <w:pPr>
              <w:pStyle w:val="Standard"/>
              <w:rPr>
                <w:color w:val="FF0000"/>
                <w:lang w:val="pl-PL"/>
              </w:rPr>
            </w:pPr>
            <w:r w:rsidRPr="000309E4">
              <w:rPr>
                <w:lang w:val="pl-PL"/>
              </w:rPr>
              <w:t>3.</w:t>
            </w:r>
          </w:p>
        </w:tc>
        <w:tc>
          <w:tcPr>
            <w:tcW w:w="3358" w:type="dxa"/>
          </w:tcPr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 xml:space="preserve">Operacja jest innowacyjna </w:t>
            </w:r>
          </w:p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 xml:space="preserve">w rozumieniu definicji zawartej </w:t>
            </w:r>
          </w:p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>w rozdziale VI LSR tj</w:t>
            </w:r>
            <w:r w:rsidRPr="000309E4">
              <w:rPr>
                <w:sz w:val="18"/>
                <w:szCs w:val="18"/>
                <w:lang w:val="pl-PL"/>
              </w:rPr>
              <w:t>.  zastosowanie nowych technologii przy budowie lub modernizacji; wprowadzenie nowych, istotnie zmienionych, ulepszonych technik organizacyjnych).</w:t>
            </w:r>
          </w:p>
        </w:tc>
        <w:tc>
          <w:tcPr>
            <w:tcW w:w="1124" w:type="dxa"/>
            <w:vAlign w:val="center"/>
          </w:tcPr>
          <w:p w:rsidR="00D56E85" w:rsidRPr="000309E4" w:rsidRDefault="00D56E85" w:rsidP="006E7DA4">
            <w:pPr>
              <w:pStyle w:val="Standard"/>
              <w:jc w:val="center"/>
              <w:rPr>
                <w:lang w:val="pl-PL"/>
              </w:rPr>
            </w:pPr>
            <w:r w:rsidRPr="000309E4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>Kryterium przyczyni się do kształtowania pozytywnego wizerunku podmiotów, ulepszenia, udoskonalenia oferowanych produktów, zwiększenia liczby odwiedzających zmodernizowane i nowo powstałe obiekty infrastruktury turystyczno-rekreacyjnej. Ponadto zmodernizowane i wybudowane obiekty będą wizytówkami pokazującymi jak na obszarze LGD tworzy się innowacyjne rozwiązania poprzez zaangażowanie lokalnej społeczności.</w:t>
            </w:r>
          </w:p>
        </w:tc>
        <w:tc>
          <w:tcPr>
            <w:tcW w:w="1807" w:type="dxa"/>
            <w:vMerge w:val="restart"/>
          </w:tcPr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>Informacje zawarte we wniosku</w:t>
            </w:r>
          </w:p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 xml:space="preserve"> o dofinansowanie. </w:t>
            </w:r>
          </w:p>
        </w:tc>
      </w:tr>
      <w:tr w:rsidR="008A20C2" w:rsidRPr="008A20C2" w:rsidTr="006E7DA4">
        <w:tc>
          <w:tcPr>
            <w:tcW w:w="570" w:type="dxa"/>
            <w:vMerge/>
          </w:tcPr>
          <w:p w:rsidR="00D56E85" w:rsidRPr="008A20C2" w:rsidRDefault="00D56E85" w:rsidP="006E7DA4">
            <w:pPr>
              <w:pStyle w:val="Standard"/>
              <w:rPr>
                <w:color w:val="FF0000"/>
                <w:lang w:val="pl-PL"/>
              </w:rPr>
            </w:pPr>
          </w:p>
        </w:tc>
        <w:tc>
          <w:tcPr>
            <w:tcW w:w="3358" w:type="dxa"/>
          </w:tcPr>
          <w:p w:rsidR="00D56E85" w:rsidRPr="000309E4" w:rsidRDefault="00D56E85" w:rsidP="000E4F55">
            <w:pPr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>Operacja nie wprowadza rozwiązania innowacyjnego.</w:t>
            </w:r>
          </w:p>
        </w:tc>
        <w:tc>
          <w:tcPr>
            <w:tcW w:w="1124" w:type="dxa"/>
            <w:vAlign w:val="center"/>
          </w:tcPr>
          <w:p w:rsidR="00D56E85" w:rsidRPr="000309E4" w:rsidRDefault="00D56E85" w:rsidP="006E7DA4">
            <w:pPr>
              <w:pStyle w:val="Standard"/>
              <w:jc w:val="center"/>
              <w:rPr>
                <w:lang w:val="pl-PL"/>
              </w:rPr>
            </w:pPr>
            <w:r w:rsidRPr="000309E4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6E85" w:rsidRPr="000309E4" w:rsidRDefault="00D56E85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6E85" w:rsidRPr="000309E4" w:rsidRDefault="00D56E85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6E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Grantobiorca</w:t>
            </w:r>
            <w:r w:rsidRPr="00053E2F">
              <w:rPr>
                <w:sz w:val="20"/>
                <w:szCs w:val="20"/>
                <w:lang w:val="pl-PL"/>
              </w:rPr>
              <w:t xml:space="preserve">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wskazuje na świadome korzysta</w:t>
            </w:r>
            <w:bookmarkStart w:id="0" w:name="_GoBack"/>
            <w:bookmarkEnd w:id="0"/>
            <w:r w:rsidRPr="00A67A13">
              <w:rPr>
                <w:sz w:val="18"/>
                <w:szCs w:val="18"/>
                <w:lang w:val="pl-PL"/>
              </w:rPr>
              <w:t>nie ze środków w ramach LSR. Korzystanie z doradztwa zapobiega popełnianiu błędów przy tworzeniu wniosku, a tym samym daje większą szansę na uzyskanie wsparcia.  Ponadto, dzięki doradztwu,  tworzone projekty będą odpowiadać na zdiagnozowane potrzeby.</w:t>
            </w:r>
          </w:p>
        </w:tc>
        <w:tc>
          <w:tcPr>
            <w:tcW w:w="1807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Grantobiorca</w:t>
            </w:r>
            <w:r w:rsidRPr="00053E2F">
              <w:rPr>
                <w:sz w:val="20"/>
                <w:szCs w:val="20"/>
                <w:lang w:val="pl-PL"/>
              </w:rPr>
              <w:t xml:space="preserve"> nie korzystał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6E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</w:t>
            </w:r>
            <w:r>
              <w:rPr>
                <w:sz w:val="20"/>
                <w:szCs w:val="20"/>
                <w:lang w:val="pl-PL"/>
              </w:rPr>
              <w:t xml:space="preserve">peracji jest nie dłuższy niż </w:t>
            </w:r>
            <w:r w:rsidRPr="00200DEB">
              <w:rPr>
                <w:sz w:val="20"/>
                <w:szCs w:val="20"/>
                <w:lang w:val="pl-PL"/>
              </w:rPr>
              <w:t>1 rok.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Default="00D57D5F" w:rsidP="006E7DA4">
            <w:pPr>
              <w:pStyle w:val="Tekstkomentarza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A67A13">
              <w:rPr>
                <w:sz w:val="18"/>
                <w:szCs w:val="18"/>
              </w:rPr>
              <w:t>Operacje,  powinny szybko przynieść efekty, które  pomogą roz</w:t>
            </w:r>
            <w:r>
              <w:rPr>
                <w:sz w:val="18"/>
                <w:szCs w:val="18"/>
              </w:rPr>
              <w:t>wiązać istotne lokalne problemy. Czas realizacji operacji oznacza</w:t>
            </w:r>
            <w:r w:rsidRPr="00200DEB">
              <w:rPr>
                <w:sz w:val="18"/>
                <w:szCs w:val="18"/>
              </w:rPr>
              <w:t xml:space="preserve"> 1 rok </w:t>
            </w:r>
            <w:r>
              <w:rPr>
                <w:sz w:val="18"/>
                <w:szCs w:val="18"/>
              </w:rPr>
              <w:t xml:space="preserve">liczony od daty podpisania umowy </w:t>
            </w:r>
          </w:p>
          <w:p w:rsidR="00D57D5F" w:rsidRPr="000D2469" w:rsidRDefault="00D57D5F" w:rsidP="006E7DA4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grantobiorcą.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</w:t>
            </w:r>
            <w:r>
              <w:rPr>
                <w:sz w:val="20"/>
                <w:szCs w:val="20"/>
                <w:lang w:val="pl-PL"/>
              </w:rPr>
              <w:t xml:space="preserve">i operacji jest dłuższy niż </w:t>
            </w:r>
            <w:r w:rsidRPr="00200DEB">
              <w:rPr>
                <w:sz w:val="20"/>
                <w:szCs w:val="20"/>
                <w:lang w:val="pl-PL"/>
              </w:rPr>
              <w:t>1 rok.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6727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462FF5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462FF5">
              <w:rPr>
                <w:sz w:val="20"/>
                <w:szCs w:val="20"/>
                <w:lang w:val="pl-PL"/>
              </w:rPr>
              <w:t xml:space="preserve">Wnioskowana </w:t>
            </w:r>
            <w:r>
              <w:rPr>
                <w:sz w:val="20"/>
                <w:szCs w:val="20"/>
                <w:lang w:val="pl-PL"/>
              </w:rPr>
              <w:t>przez grantobiorcę kwota grantu nie jest wyższa niż 90% maksymalnej wartości grantu wskazanej w ogłoszeniu o naborze.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preferuje mniejsze kwoty grantowe, ze względu na objęcie wsparciem większej liczby zainteresowanych podmiotów</w:t>
            </w:r>
            <w:r>
              <w:rPr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462FF5">
              <w:rPr>
                <w:sz w:val="20"/>
                <w:szCs w:val="20"/>
                <w:lang w:val="pl-PL"/>
              </w:rPr>
              <w:t xml:space="preserve">Wnioskowana </w:t>
            </w:r>
            <w:r>
              <w:rPr>
                <w:sz w:val="20"/>
                <w:szCs w:val="20"/>
                <w:lang w:val="pl-PL"/>
              </w:rPr>
              <w:t>przez grantobiorcę kwota grantu jest wyższa niż 90% maksymalnej wartości grantu wskazanej w ogłoszeniu o naborze.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6727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7.</w:t>
            </w: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Pr="00007039">
              <w:rPr>
                <w:sz w:val="20"/>
                <w:szCs w:val="20"/>
                <w:lang w:val="pl-PL"/>
              </w:rPr>
              <w:t xml:space="preserve">i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środowiska.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Pr="00007039">
              <w:rPr>
                <w:sz w:val="20"/>
                <w:szCs w:val="20"/>
                <w:lang w:val="pl-PL"/>
              </w:rPr>
              <w:t>lub</w:t>
            </w:r>
            <w:r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Pr="00007039">
              <w:rPr>
                <w:sz w:val="20"/>
                <w:szCs w:val="20"/>
                <w:lang w:val="pl-PL"/>
              </w:rPr>
              <w:t>lub</w:t>
            </w:r>
            <w:r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</w:tbl>
    <w:p w:rsidR="00845512" w:rsidRDefault="00845512" w:rsidP="00D57D5F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</w:p>
    <w:p w:rsidR="00D57D5F" w:rsidRPr="00053E2F" w:rsidRDefault="00D56E85" w:rsidP="00D57D5F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26</w:t>
      </w:r>
    </w:p>
    <w:p w:rsidR="00D57D5F" w:rsidRPr="000309E4" w:rsidRDefault="00D57D5F" w:rsidP="00D57D5F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56E85" w:rsidRPr="000309E4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11,7</w:t>
      </w: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="00D56E85" w:rsidRPr="000309E4">
        <w:rPr>
          <w:rFonts w:eastAsia="SimSun" w:cs="Mangal"/>
          <w:bCs/>
          <w:sz w:val="20"/>
          <w:szCs w:val="20"/>
          <w:lang w:val="pl-PL" w:eastAsia="zh-CN" w:bidi="hi-IN"/>
        </w:rPr>
        <w:t>, co stanowi 45</w:t>
      </w: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C92A54" w:rsidRPr="00D57D5F" w:rsidRDefault="00C92A54">
      <w:pPr>
        <w:rPr>
          <w:lang w:val="pl-PL"/>
        </w:rPr>
      </w:pPr>
    </w:p>
    <w:sectPr w:rsidR="00C92A54" w:rsidRPr="00D57D5F" w:rsidSect="00071E21">
      <w:headerReference w:type="default" r:id="rId7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2" w:rsidRDefault="00436562" w:rsidP="00D57D5F">
      <w:r>
        <w:separator/>
      </w:r>
    </w:p>
  </w:endnote>
  <w:endnote w:type="continuationSeparator" w:id="0">
    <w:p w:rsidR="00436562" w:rsidRDefault="00436562" w:rsidP="00D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2" w:rsidRDefault="00436562" w:rsidP="00D57D5F">
      <w:r>
        <w:separator/>
      </w:r>
    </w:p>
  </w:footnote>
  <w:footnote w:type="continuationSeparator" w:id="0">
    <w:p w:rsidR="00436562" w:rsidRDefault="00436562" w:rsidP="00D5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="00D57D5F">
      <w:rPr>
        <w:i/>
        <w:sz w:val="18"/>
        <w:szCs w:val="18"/>
        <w:lang w:val="pl-PL"/>
      </w:rPr>
      <w:t>nr 8</w:t>
    </w:r>
    <w:r w:rsidRPr="00D43E8D">
      <w:rPr>
        <w:i/>
        <w:sz w:val="18"/>
        <w:szCs w:val="18"/>
        <w:lang w:val="pl-PL"/>
      </w:rPr>
      <w:t>/2016 z dnia 17.05.2016r.</w:t>
    </w:r>
  </w:p>
  <w:p w:rsidR="00D57D5F" w:rsidRPr="00D43E8D" w:rsidRDefault="00D57D5F">
    <w:pPr>
      <w:pStyle w:val="Nagwek"/>
      <w:rPr>
        <w:i/>
        <w:sz w:val="18"/>
        <w:szCs w:val="1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F"/>
    <w:rsid w:val="000309E4"/>
    <w:rsid w:val="00436562"/>
    <w:rsid w:val="00487408"/>
    <w:rsid w:val="00507FA2"/>
    <w:rsid w:val="00672785"/>
    <w:rsid w:val="006752F3"/>
    <w:rsid w:val="00684B95"/>
    <w:rsid w:val="00845512"/>
    <w:rsid w:val="008A20C2"/>
    <w:rsid w:val="00A327AE"/>
    <w:rsid w:val="00A93007"/>
    <w:rsid w:val="00B776C8"/>
    <w:rsid w:val="00C92A54"/>
    <w:rsid w:val="00C95D90"/>
    <w:rsid w:val="00D56E85"/>
    <w:rsid w:val="00D57D5F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suppressAutoHyphens w:val="0"/>
      <w:autoSpaceDN/>
      <w:jc w:val="center"/>
      <w:textAlignment w:val="auto"/>
      <w:outlineLvl w:val="2"/>
    </w:pPr>
    <w:rPr>
      <w:rFonts w:ascii="Verdana" w:eastAsia="Times New Roman" w:hAnsi="Verdana" w:cs="Times New Roman"/>
      <w:b/>
      <w:bCs/>
      <w:kern w:val="0"/>
      <w:sz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paragraph" w:customStyle="1" w:styleId="Standard">
    <w:name w:val="Standard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57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D5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suppressAutoHyphens w:val="0"/>
      <w:autoSpaceDN/>
      <w:jc w:val="center"/>
      <w:textAlignment w:val="auto"/>
      <w:outlineLvl w:val="2"/>
    </w:pPr>
    <w:rPr>
      <w:rFonts w:ascii="Verdana" w:eastAsia="Times New Roman" w:hAnsi="Verdana" w:cs="Times New Roman"/>
      <w:b/>
      <w:bCs/>
      <w:kern w:val="0"/>
      <w:sz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paragraph" w:customStyle="1" w:styleId="Standard">
    <w:name w:val="Standard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57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D5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8</cp:revision>
  <cp:lastPrinted>2016-06-01T12:19:00Z</cp:lastPrinted>
  <dcterms:created xsi:type="dcterms:W3CDTF">2016-05-16T13:13:00Z</dcterms:created>
  <dcterms:modified xsi:type="dcterms:W3CDTF">2016-06-02T13:21:00Z</dcterms:modified>
</cp:coreProperties>
</file>