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EF52F6">
              <w:rPr>
                <w:noProof/>
                <w:webHidden/>
              </w:rPr>
              <w:t>4</w:t>
            </w:r>
            <w:r w:rsidR="00ED7AB3">
              <w:rPr>
                <w:noProof/>
                <w:webHidden/>
              </w:rPr>
              <w:fldChar w:fldCharType="end"/>
            </w:r>
          </w:hyperlink>
        </w:p>
        <w:p w:rsidR="00ED7AB3" w:rsidRDefault="00C5362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EF52F6">
              <w:rPr>
                <w:noProof/>
                <w:webHidden/>
              </w:rPr>
              <w:t>5</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EF52F6">
              <w:rPr>
                <w:noProof/>
                <w:webHidden/>
              </w:rPr>
              <w:t>5</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EF52F6">
              <w:rPr>
                <w:noProof/>
                <w:webHidden/>
              </w:rPr>
              <w:t>5</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EF52F6">
              <w:rPr>
                <w:noProof/>
                <w:webHidden/>
              </w:rPr>
              <w:t>6</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EF52F6">
              <w:rPr>
                <w:noProof/>
                <w:webHidden/>
              </w:rPr>
              <w:t>6</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EF52F6">
              <w:rPr>
                <w:noProof/>
                <w:webHidden/>
              </w:rPr>
              <w:t>7</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EF52F6">
              <w:rPr>
                <w:noProof/>
                <w:webHidden/>
              </w:rPr>
              <w:t>8</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EF52F6">
              <w:rPr>
                <w:noProof/>
                <w:webHidden/>
              </w:rPr>
              <w:t>8</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EF52F6">
              <w:rPr>
                <w:noProof/>
                <w:webHidden/>
              </w:rPr>
              <w:t>10</w:t>
            </w:r>
            <w:r w:rsidR="00ED7AB3">
              <w:rPr>
                <w:noProof/>
                <w:webHidden/>
              </w:rPr>
              <w:fldChar w:fldCharType="end"/>
            </w:r>
          </w:hyperlink>
        </w:p>
        <w:p w:rsidR="00ED7AB3" w:rsidRDefault="00C5362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EF52F6">
              <w:rPr>
                <w:noProof/>
                <w:webHidden/>
              </w:rPr>
              <w:t>11</w:t>
            </w:r>
            <w:r w:rsidR="00ED7AB3">
              <w:rPr>
                <w:noProof/>
                <w:webHidden/>
              </w:rPr>
              <w:fldChar w:fldCharType="end"/>
            </w:r>
          </w:hyperlink>
        </w:p>
        <w:p w:rsidR="00ED7AB3" w:rsidRDefault="00C53620">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EF52F6">
              <w:rPr>
                <w:noProof/>
                <w:webHidden/>
              </w:rPr>
              <w:t>14</w:t>
            </w:r>
            <w:r w:rsidR="00ED7AB3">
              <w:rPr>
                <w:noProof/>
                <w:webHidden/>
              </w:rPr>
              <w:fldChar w:fldCharType="end"/>
            </w:r>
          </w:hyperlink>
        </w:p>
        <w:p w:rsidR="00ED7AB3" w:rsidRDefault="00C53620">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EF52F6">
              <w:rPr>
                <w:noProof/>
                <w:webHidden/>
              </w:rPr>
              <w:t>14</w:t>
            </w:r>
            <w:r w:rsidR="00ED7AB3">
              <w:rPr>
                <w:noProof/>
                <w:webHidden/>
              </w:rPr>
              <w:fldChar w:fldCharType="end"/>
            </w:r>
          </w:hyperlink>
        </w:p>
        <w:p w:rsidR="00ED7AB3" w:rsidRDefault="00C5362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EF52F6">
              <w:rPr>
                <w:noProof/>
                <w:webHidden/>
              </w:rPr>
              <w:t>14</w:t>
            </w:r>
            <w:r w:rsidR="00ED7AB3">
              <w:rPr>
                <w:noProof/>
                <w:webHidden/>
              </w:rPr>
              <w:fldChar w:fldCharType="end"/>
            </w:r>
          </w:hyperlink>
        </w:p>
        <w:p w:rsidR="00ED7AB3" w:rsidRDefault="00C5362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EF52F6">
              <w:rPr>
                <w:noProof/>
                <w:webHidden/>
              </w:rPr>
              <w:t>16</w:t>
            </w:r>
            <w:r w:rsidR="00ED7AB3">
              <w:rPr>
                <w:noProof/>
                <w:webHidden/>
              </w:rPr>
              <w:fldChar w:fldCharType="end"/>
            </w:r>
          </w:hyperlink>
        </w:p>
        <w:p w:rsidR="00ED7AB3" w:rsidRDefault="00C5362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EF52F6">
              <w:rPr>
                <w:noProof/>
                <w:webHidden/>
              </w:rPr>
              <w:t>19</w:t>
            </w:r>
            <w:r w:rsidR="00ED7AB3">
              <w:rPr>
                <w:noProof/>
                <w:webHidden/>
              </w:rPr>
              <w:fldChar w:fldCharType="end"/>
            </w:r>
          </w:hyperlink>
        </w:p>
        <w:p w:rsidR="00ED7AB3" w:rsidRDefault="00C5362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EF52F6">
              <w:rPr>
                <w:noProof/>
                <w:webHidden/>
              </w:rPr>
              <w:t>20</w:t>
            </w:r>
            <w:r w:rsidR="00ED7AB3">
              <w:rPr>
                <w:noProof/>
                <w:webHidden/>
              </w:rPr>
              <w:fldChar w:fldCharType="end"/>
            </w:r>
          </w:hyperlink>
        </w:p>
        <w:p w:rsidR="00ED7AB3" w:rsidRDefault="00C5362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EF52F6">
              <w:rPr>
                <w:noProof/>
                <w:webHidden/>
              </w:rPr>
              <w:t>20</w:t>
            </w:r>
            <w:r w:rsidR="00ED7AB3">
              <w:rPr>
                <w:noProof/>
                <w:webHidden/>
              </w:rPr>
              <w:fldChar w:fldCharType="end"/>
            </w:r>
          </w:hyperlink>
        </w:p>
        <w:p w:rsidR="00ED7AB3" w:rsidRDefault="00C53620">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EF52F6">
              <w:rPr>
                <w:noProof/>
                <w:webHidden/>
              </w:rPr>
              <w:t>22</w:t>
            </w:r>
            <w:r w:rsidR="00ED7AB3">
              <w:rPr>
                <w:noProof/>
                <w:webHidden/>
              </w:rPr>
              <w:fldChar w:fldCharType="end"/>
            </w:r>
          </w:hyperlink>
        </w:p>
        <w:p w:rsidR="00ED7AB3" w:rsidRDefault="00C53620">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EF52F6">
              <w:rPr>
                <w:noProof/>
                <w:webHidden/>
              </w:rPr>
              <w:t>22</w:t>
            </w:r>
            <w:r w:rsidR="00ED7AB3">
              <w:rPr>
                <w:noProof/>
                <w:webHidden/>
              </w:rPr>
              <w:fldChar w:fldCharType="end"/>
            </w:r>
          </w:hyperlink>
        </w:p>
        <w:p w:rsidR="00ED7AB3" w:rsidRDefault="00C53620">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EF52F6">
              <w:rPr>
                <w:noProof/>
                <w:webHidden/>
              </w:rPr>
              <w:t>24</w:t>
            </w:r>
            <w:r w:rsidR="00ED7AB3">
              <w:rPr>
                <w:noProof/>
                <w:webHidden/>
              </w:rPr>
              <w:fldChar w:fldCharType="end"/>
            </w:r>
          </w:hyperlink>
        </w:p>
        <w:p w:rsidR="00ED7AB3" w:rsidRDefault="00C5362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EF52F6">
              <w:rPr>
                <w:noProof/>
                <w:webHidden/>
              </w:rPr>
              <w:t>28</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EF52F6">
              <w:rPr>
                <w:noProof/>
                <w:webHidden/>
              </w:rPr>
              <w:t>28</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EF52F6">
              <w:rPr>
                <w:noProof/>
                <w:webHidden/>
              </w:rPr>
              <w:t>31</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EF52F6">
              <w:rPr>
                <w:noProof/>
                <w:webHidden/>
              </w:rPr>
              <w:t>36</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EF52F6">
              <w:rPr>
                <w:noProof/>
                <w:webHidden/>
              </w:rPr>
              <w:t>40</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EF52F6">
              <w:rPr>
                <w:noProof/>
                <w:webHidden/>
              </w:rPr>
              <w:t>47</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EF52F6">
              <w:rPr>
                <w:noProof/>
                <w:webHidden/>
              </w:rPr>
              <w:t>47</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EF52F6">
              <w:rPr>
                <w:noProof/>
                <w:webHidden/>
              </w:rPr>
              <w:t>47</w:t>
            </w:r>
            <w:r w:rsidR="00ED7AB3">
              <w:rPr>
                <w:noProof/>
                <w:webHidden/>
              </w:rPr>
              <w:fldChar w:fldCharType="end"/>
            </w:r>
          </w:hyperlink>
        </w:p>
        <w:p w:rsidR="00ED7AB3" w:rsidRDefault="00C53620">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EF52F6">
              <w:rPr>
                <w:noProof/>
                <w:webHidden/>
              </w:rPr>
              <w:t>48</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EF52F6">
              <w:rPr>
                <w:noProof/>
                <w:webHidden/>
              </w:rPr>
              <w:t>48</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EF52F6">
              <w:rPr>
                <w:noProof/>
                <w:webHidden/>
              </w:rPr>
              <w:t>49</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EF52F6">
              <w:rPr>
                <w:noProof/>
                <w:webHidden/>
              </w:rPr>
              <w:t>49</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EF52F6">
              <w:rPr>
                <w:noProof/>
                <w:webHidden/>
              </w:rPr>
              <w:t>53</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EF52F6">
              <w:rPr>
                <w:noProof/>
                <w:webHidden/>
              </w:rPr>
              <w:t>54</w:t>
            </w:r>
            <w:r w:rsidR="00ED7AB3">
              <w:rPr>
                <w:noProof/>
                <w:webHidden/>
              </w:rPr>
              <w:fldChar w:fldCharType="end"/>
            </w:r>
          </w:hyperlink>
        </w:p>
        <w:p w:rsidR="00ED7AB3" w:rsidRDefault="00C53620">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EF52F6">
              <w:rPr>
                <w:noProof/>
                <w:webHidden/>
              </w:rPr>
              <w:t>54</w:t>
            </w:r>
            <w:r w:rsidR="00ED7AB3">
              <w:rPr>
                <w:noProof/>
                <w:webHidden/>
              </w:rPr>
              <w:fldChar w:fldCharType="end"/>
            </w:r>
          </w:hyperlink>
        </w:p>
        <w:p w:rsidR="00ED7AB3" w:rsidRDefault="00C5362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EF52F6">
              <w:rPr>
                <w:noProof/>
                <w:webHidden/>
              </w:rPr>
              <w:t>55</w:t>
            </w:r>
            <w:r w:rsidR="00ED7AB3">
              <w:rPr>
                <w:noProof/>
                <w:webHidden/>
              </w:rPr>
              <w:fldChar w:fldCharType="end"/>
            </w:r>
          </w:hyperlink>
        </w:p>
        <w:p w:rsidR="00ED7AB3" w:rsidRDefault="00C5362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EF52F6">
              <w:rPr>
                <w:noProof/>
                <w:webHidden/>
              </w:rPr>
              <w:t>56</w:t>
            </w:r>
            <w:r w:rsidR="00ED7AB3">
              <w:rPr>
                <w:noProof/>
                <w:webHidden/>
              </w:rPr>
              <w:fldChar w:fldCharType="end"/>
            </w:r>
          </w:hyperlink>
        </w:p>
        <w:p w:rsidR="00ED7AB3" w:rsidRDefault="00C53620">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EF52F6">
              <w:rPr>
                <w:noProof/>
                <w:webHidden/>
              </w:rPr>
              <w:t>57</w:t>
            </w:r>
            <w:r w:rsidR="00ED7AB3">
              <w:rPr>
                <w:noProof/>
                <w:webHidden/>
              </w:rPr>
              <w:fldChar w:fldCharType="end"/>
            </w:r>
          </w:hyperlink>
        </w:p>
        <w:p w:rsidR="00ED7AB3" w:rsidRDefault="00C53620">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EF52F6">
              <w:rPr>
                <w:noProof/>
                <w:webHidden/>
              </w:rPr>
              <w:t>57</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EF52F6">
              <w:rPr>
                <w:noProof/>
                <w:webHidden/>
              </w:rPr>
              <w:t>59</w:t>
            </w:r>
            <w:r w:rsidR="00ED7AB3">
              <w:rPr>
                <w:noProof/>
                <w:webHidden/>
              </w:rPr>
              <w:fldChar w:fldCharType="end"/>
            </w:r>
          </w:hyperlink>
        </w:p>
        <w:p w:rsidR="00ED7AB3" w:rsidRDefault="00C5362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EF52F6">
              <w:rPr>
                <w:noProof/>
                <w:webHidden/>
              </w:rPr>
              <w:t>59</w:t>
            </w:r>
            <w:r w:rsidR="00ED7AB3">
              <w:rPr>
                <w:noProof/>
                <w:webHidden/>
              </w:rPr>
              <w:fldChar w:fldCharType="end"/>
            </w:r>
          </w:hyperlink>
        </w:p>
        <w:p w:rsidR="00ED7AB3" w:rsidRDefault="00C53620">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EF52F6">
              <w:rPr>
                <w:noProof/>
                <w:webHidden/>
              </w:rPr>
              <w:t>62</w:t>
            </w:r>
            <w:r w:rsidR="00ED7AB3">
              <w:rPr>
                <w:noProof/>
                <w:webHidden/>
              </w:rPr>
              <w:fldChar w:fldCharType="end"/>
            </w:r>
          </w:hyperlink>
        </w:p>
        <w:p w:rsidR="00ED7AB3" w:rsidRDefault="00C53620">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EF52F6">
              <w:rPr>
                <w:noProof/>
                <w:webHidden/>
              </w:rPr>
              <w:t>63</w:t>
            </w:r>
            <w:r w:rsidR="00ED7AB3">
              <w:rPr>
                <w:noProof/>
                <w:webHidden/>
              </w:rPr>
              <w:fldChar w:fldCharType="end"/>
            </w:r>
          </w:hyperlink>
        </w:p>
        <w:p w:rsidR="00ED7AB3" w:rsidRDefault="00C53620">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EF52F6">
              <w:rPr>
                <w:noProof/>
                <w:webHidden/>
              </w:rPr>
              <w:t>64</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EF52F6">
              <w:rPr>
                <w:noProof/>
                <w:webHidden/>
              </w:rPr>
              <w:t>64</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EF52F6">
              <w:rPr>
                <w:noProof/>
                <w:webHidden/>
              </w:rPr>
              <w:t>65</w:t>
            </w:r>
            <w:r w:rsidR="00ED7AB3">
              <w:rPr>
                <w:noProof/>
                <w:webHidden/>
              </w:rPr>
              <w:fldChar w:fldCharType="end"/>
            </w:r>
          </w:hyperlink>
        </w:p>
        <w:p w:rsidR="00ED7AB3" w:rsidRDefault="00C53620">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EF52F6">
              <w:rPr>
                <w:noProof/>
                <w:webHidden/>
              </w:rPr>
              <w:t>69</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EF52F6">
              <w:rPr>
                <w:noProof/>
                <w:webHidden/>
              </w:rPr>
              <w:t>71</w:t>
            </w:r>
            <w:r w:rsidR="00ED7AB3">
              <w:rPr>
                <w:noProof/>
                <w:webHidden/>
              </w:rPr>
              <w:fldChar w:fldCharType="end"/>
            </w:r>
          </w:hyperlink>
        </w:p>
        <w:p w:rsidR="00ED7AB3" w:rsidRDefault="00C5362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EF52F6">
              <w:rPr>
                <w:noProof/>
                <w:webHidden/>
              </w:rPr>
              <w:t>72</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620" w:rsidRDefault="00C53620" w:rsidP="009E615C">
                              <w:pPr>
                                <w:jc w:val="center"/>
                                <w:rPr>
                                  <w:rFonts w:ascii="Verdana" w:hAnsi="Verdana"/>
                                  <w:b/>
                                  <w:sz w:val="20"/>
                                  <w:szCs w:val="20"/>
                                </w:rPr>
                              </w:pPr>
                              <w:r>
                                <w:rPr>
                                  <w:rFonts w:ascii="Verdana" w:hAnsi="Verdana"/>
                                  <w:b/>
                                  <w:sz w:val="20"/>
                                  <w:szCs w:val="20"/>
                                </w:rPr>
                                <w:t>ORGANY LGD</w:t>
                              </w:r>
                            </w:p>
                            <w:p w:rsidR="00C53620" w:rsidRDefault="00C53620"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C53620" w:rsidRDefault="00C53620" w:rsidP="009E615C">
                              <w:pPr>
                                <w:jc w:val="center"/>
                                <w:rPr>
                                  <w:rFonts w:ascii="Verdana" w:hAnsi="Verdana"/>
                                  <w:b/>
                                  <w:sz w:val="14"/>
                                  <w:szCs w:val="20"/>
                                </w:rPr>
                              </w:pPr>
                            </w:p>
                            <w:p w:rsidR="00C53620" w:rsidRDefault="00C53620" w:rsidP="009E615C">
                              <w:pPr>
                                <w:jc w:val="center"/>
                                <w:rPr>
                                  <w:rFonts w:ascii="Verdana" w:hAnsi="Verdana"/>
                                  <w:b/>
                                  <w:sz w:val="20"/>
                                  <w:szCs w:val="20"/>
                                </w:rPr>
                              </w:pPr>
                              <w:r>
                                <w:rPr>
                                  <w:rFonts w:ascii="Verdana" w:hAnsi="Verdana"/>
                                  <w:b/>
                                  <w:sz w:val="20"/>
                                  <w:szCs w:val="20"/>
                                </w:rPr>
                                <w:t>SPOŁECZNOŚĆ 9 GMIN LGD „ZIEMIA JĘDRZEJOWSKA – GRYF”</w:t>
                              </w:r>
                            </w:p>
                            <w:p w:rsidR="00C53620" w:rsidRDefault="00C53620" w:rsidP="009E615C">
                              <w:pPr>
                                <w:jc w:val="center"/>
                                <w:rPr>
                                  <w:rFonts w:ascii="Verdana" w:hAnsi="Verdana"/>
                                  <w:sz w:val="20"/>
                                  <w:szCs w:val="20"/>
                                </w:rPr>
                              </w:pPr>
                              <w:r>
                                <w:rPr>
                                  <w:rFonts w:ascii="Verdana" w:hAnsi="Verdana"/>
                                  <w:sz w:val="20"/>
                                  <w:szCs w:val="20"/>
                                </w:rPr>
                                <w:t>(trzy sektory społeczne)</w:t>
                              </w:r>
                            </w:p>
                            <w:p w:rsidR="00C53620" w:rsidRDefault="00C53620"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C53620" w:rsidRDefault="00C53620" w:rsidP="009E615C">
                              <w:pPr>
                                <w:jc w:val="center"/>
                                <w:rPr>
                                  <w:rFonts w:ascii="Verdana" w:hAnsi="Verdana"/>
                                  <w:b/>
                                  <w:sz w:val="10"/>
                                  <w:szCs w:val="20"/>
                                </w:rPr>
                              </w:pPr>
                            </w:p>
                            <w:p w:rsidR="00C53620" w:rsidRDefault="00C53620" w:rsidP="009E615C">
                              <w:pPr>
                                <w:jc w:val="center"/>
                                <w:rPr>
                                  <w:rFonts w:ascii="Verdana" w:hAnsi="Verdana"/>
                                  <w:b/>
                                  <w:sz w:val="20"/>
                                  <w:szCs w:val="20"/>
                                </w:rPr>
                              </w:pPr>
                              <w:r>
                                <w:rPr>
                                  <w:rFonts w:ascii="Verdana" w:hAnsi="Verdana"/>
                                  <w:b/>
                                  <w:sz w:val="20"/>
                                  <w:szCs w:val="20"/>
                                </w:rPr>
                                <w:t>WALNE ZEBRANIE CZŁONKÓW</w:t>
                              </w:r>
                            </w:p>
                            <w:p w:rsidR="00C53620" w:rsidRDefault="00C53620"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C53620" w:rsidRDefault="00C53620" w:rsidP="009E615C">
                              <w:pPr>
                                <w:jc w:val="center"/>
                                <w:rPr>
                                  <w:rFonts w:ascii="Verdana" w:hAnsi="Verdana"/>
                                  <w:b/>
                                  <w:sz w:val="20"/>
                                  <w:szCs w:val="20"/>
                                </w:rPr>
                              </w:pPr>
                              <w:r>
                                <w:rPr>
                                  <w:rFonts w:ascii="Verdana" w:hAnsi="Verdana"/>
                                  <w:b/>
                                  <w:sz w:val="20"/>
                                  <w:szCs w:val="20"/>
                                </w:rPr>
                                <w:t>RADA</w:t>
                              </w:r>
                            </w:p>
                            <w:p w:rsidR="00C53620" w:rsidRPr="00850103" w:rsidRDefault="00C53620"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53620" w:rsidRPr="00850103" w:rsidRDefault="00C53620"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53620" w:rsidRDefault="00C53620"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C53620" w:rsidRDefault="00C53620" w:rsidP="009E615C">
                              <w:pPr>
                                <w:jc w:val="center"/>
                                <w:rPr>
                                  <w:rFonts w:ascii="Verdana" w:hAnsi="Verdana"/>
                                  <w:b/>
                                  <w:sz w:val="20"/>
                                  <w:szCs w:val="20"/>
                                </w:rPr>
                              </w:pPr>
                              <w:r>
                                <w:rPr>
                                  <w:rFonts w:ascii="Verdana" w:hAnsi="Verdana"/>
                                  <w:b/>
                                  <w:sz w:val="20"/>
                                  <w:szCs w:val="20"/>
                                </w:rPr>
                                <w:t>ZARZĄD</w:t>
                              </w:r>
                            </w:p>
                            <w:p w:rsidR="00C53620" w:rsidRPr="00C1580E" w:rsidRDefault="00C53620" w:rsidP="009E615C">
                              <w:pPr>
                                <w:jc w:val="center"/>
                                <w:rPr>
                                  <w:rFonts w:ascii="Verdana" w:hAnsi="Verdana"/>
                                  <w:sz w:val="18"/>
                                  <w:szCs w:val="18"/>
                                </w:rPr>
                              </w:pPr>
                              <w:r w:rsidRPr="00C1580E">
                                <w:rPr>
                                  <w:rFonts w:ascii="Verdana" w:hAnsi="Verdana"/>
                                  <w:sz w:val="18"/>
                                  <w:szCs w:val="18"/>
                                </w:rPr>
                                <w:t>(10 członków – przedstawiciele wszystkich gmin)</w:t>
                              </w:r>
                            </w:p>
                            <w:p w:rsidR="00C53620" w:rsidRPr="00C1580E" w:rsidRDefault="00C53620"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C53620" w:rsidRDefault="00C53620" w:rsidP="009E615C">
                              <w:pPr>
                                <w:jc w:val="center"/>
                                <w:rPr>
                                  <w:rFonts w:ascii="Verdana" w:hAnsi="Verdana"/>
                                  <w:b/>
                                  <w:sz w:val="20"/>
                                  <w:szCs w:val="20"/>
                                </w:rPr>
                              </w:pPr>
                              <w:r>
                                <w:rPr>
                                  <w:rFonts w:ascii="Verdana" w:hAnsi="Verdana"/>
                                  <w:b/>
                                  <w:sz w:val="20"/>
                                  <w:szCs w:val="20"/>
                                </w:rPr>
                                <w:t>KOMISJA REWIZYJNA</w:t>
                              </w:r>
                            </w:p>
                            <w:p w:rsidR="00C53620" w:rsidRDefault="00C53620" w:rsidP="009E615C">
                              <w:pPr>
                                <w:jc w:val="center"/>
                                <w:rPr>
                                  <w:rFonts w:ascii="Verdana" w:hAnsi="Verdana"/>
                                  <w:sz w:val="20"/>
                                  <w:szCs w:val="20"/>
                                </w:rPr>
                              </w:pPr>
                              <w:r>
                                <w:rPr>
                                  <w:rFonts w:ascii="Verdana" w:hAnsi="Verdana"/>
                                  <w:sz w:val="20"/>
                                  <w:szCs w:val="20"/>
                                </w:rPr>
                                <w:t>(3 członków)</w:t>
                              </w:r>
                            </w:p>
                            <w:p w:rsidR="00C53620" w:rsidRDefault="00C53620"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C53620" w:rsidRDefault="00C53620"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F2264C" w:rsidRDefault="00F2264C" w:rsidP="009E615C">
                        <w:pPr>
                          <w:jc w:val="center"/>
                          <w:rPr>
                            <w:rFonts w:ascii="Verdana" w:hAnsi="Verdana"/>
                            <w:b/>
                            <w:sz w:val="20"/>
                            <w:szCs w:val="20"/>
                          </w:rPr>
                        </w:pPr>
                        <w:r>
                          <w:rPr>
                            <w:rFonts w:ascii="Verdana" w:hAnsi="Verdana"/>
                            <w:b/>
                            <w:sz w:val="20"/>
                            <w:szCs w:val="20"/>
                          </w:rPr>
                          <w:t>ORGANY LGD</w:t>
                        </w:r>
                      </w:p>
                      <w:p w:rsidR="00F2264C" w:rsidRDefault="00F2264C"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F2264C" w:rsidRDefault="00F2264C" w:rsidP="009E615C">
                        <w:pPr>
                          <w:jc w:val="center"/>
                          <w:rPr>
                            <w:rFonts w:ascii="Verdana" w:hAnsi="Verdana"/>
                            <w:b/>
                            <w:sz w:val="14"/>
                            <w:szCs w:val="20"/>
                          </w:rPr>
                        </w:pPr>
                      </w:p>
                      <w:p w:rsidR="00F2264C" w:rsidRDefault="00F2264C" w:rsidP="009E615C">
                        <w:pPr>
                          <w:jc w:val="center"/>
                          <w:rPr>
                            <w:rFonts w:ascii="Verdana" w:hAnsi="Verdana"/>
                            <w:b/>
                            <w:sz w:val="20"/>
                            <w:szCs w:val="20"/>
                          </w:rPr>
                        </w:pPr>
                        <w:r>
                          <w:rPr>
                            <w:rFonts w:ascii="Verdana" w:hAnsi="Verdana"/>
                            <w:b/>
                            <w:sz w:val="20"/>
                            <w:szCs w:val="20"/>
                          </w:rPr>
                          <w:t>SPOŁECZNOŚĆ 9 GMIN LGD „ZIEMIA JĘDRZEJOWSKA – GRYF”</w:t>
                        </w:r>
                      </w:p>
                      <w:p w:rsidR="00F2264C" w:rsidRDefault="00F2264C" w:rsidP="009E615C">
                        <w:pPr>
                          <w:jc w:val="center"/>
                          <w:rPr>
                            <w:rFonts w:ascii="Verdana" w:hAnsi="Verdana"/>
                            <w:sz w:val="20"/>
                            <w:szCs w:val="20"/>
                          </w:rPr>
                        </w:pPr>
                        <w:r>
                          <w:rPr>
                            <w:rFonts w:ascii="Verdana" w:hAnsi="Verdana"/>
                            <w:sz w:val="20"/>
                            <w:szCs w:val="20"/>
                          </w:rPr>
                          <w:t>(trzy sektory społeczne)</w:t>
                        </w:r>
                      </w:p>
                      <w:p w:rsidR="00F2264C" w:rsidRDefault="00F2264C"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F2264C" w:rsidRDefault="00F2264C" w:rsidP="009E615C">
                        <w:pPr>
                          <w:jc w:val="center"/>
                          <w:rPr>
                            <w:rFonts w:ascii="Verdana" w:hAnsi="Verdana"/>
                            <w:b/>
                            <w:sz w:val="10"/>
                            <w:szCs w:val="20"/>
                          </w:rPr>
                        </w:pPr>
                      </w:p>
                      <w:p w:rsidR="00F2264C" w:rsidRDefault="00F2264C" w:rsidP="009E615C">
                        <w:pPr>
                          <w:jc w:val="center"/>
                          <w:rPr>
                            <w:rFonts w:ascii="Verdana" w:hAnsi="Verdana"/>
                            <w:b/>
                            <w:sz w:val="20"/>
                            <w:szCs w:val="20"/>
                          </w:rPr>
                        </w:pPr>
                        <w:r>
                          <w:rPr>
                            <w:rFonts w:ascii="Verdana" w:hAnsi="Verdana"/>
                            <w:b/>
                            <w:sz w:val="20"/>
                            <w:szCs w:val="20"/>
                          </w:rPr>
                          <w:t>WALNE ZEBRANIE CZŁONKÓW</w:t>
                        </w:r>
                      </w:p>
                      <w:p w:rsidR="00F2264C" w:rsidRDefault="00F2264C"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F2264C" w:rsidRDefault="00F2264C" w:rsidP="009E615C">
                        <w:pPr>
                          <w:jc w:val="center"/>
                          <w:rPr>
                            <w:rFonts w:ascii="Verdana" w:hAnsi="Verdana"/>
                            <w:b/>
                            <w:sz w:val="20"/>
                            <w:szCs w:val="20"/>
                          </w:rPr>
                        </w:pPr>
                        <w:r>
                          <w:rPr>
                            <w:rFonts w:ascii="Verdana" w:hAnsi="Verdana"/>
                            <w:b/>
                            <w:sz w:val="20"/>
                            <w:szCs w:val="20"/>
                          </w:rPr>
                          <w:t>RADA</w:t>
                        </w:r>
                      </w:p>
                      <w:p w:rsidR="00F2264C" w:rsidRPr="00850103" w:rsidRDefault="00F2264C"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F2264C" w:rsidRPr="00850103" w:rsidRDefault="00F2264C"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F2264C" w:rsidRDefault="00F2264C"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F2264C" w:rsidRDefault="00F2264C" w:rsidP="009E615C">
                        <w:pPr>
                          <w:jc w:val="center"/>
                          <w:rPr>
                            <w:rFonts w:ascii="Verdana" w:hAnsi="Verdana"/>
                            <w:b/>
                            <w:sz w:val="20"/>
                            <w:szCs w:val="20"/>
                          </w:rPr>
                        </w:pPr>
                        <w:r>
                          <w:rPr>
                            <w:rFonts w:ascii="Verdana" w:hAnsi="Verdana"/>
                            <w:b/>
                            <w:sz w:val="20"/>
                            <w:szCs w:val="20"/>
                          </w:rPr>
                          <w:t>ZARZĄD</w:t>
                        </w:r>
                      </w:p>
                      <w:p w:rsidR="00F2264C" w:rsidRPr="00C1580E" w:rsidRDefault="00F2264C" w:rsidP="009E615C">
                        <w:pPr>
                          <w:jc w:val="center"/>
                          <w:rPr>
                            <w:rFonts w:ascii="Verdana" w:hAnsi="Verdana"/>
                            <w:sz w:val="18"/>
                            <w:szCs w:val="18"/>
                          </w:rPr>
                        </w:pPr>
                        <w:r w:rsidRPr="00C1580E">
                          <w:rPr>
                            <w:rFonts w:ascii="Verdana" w:hAnsi="Verdana"/>
                            <w:sz w:val="18"/>
                            <w:szCs w:val="18"/>
                          </w:rPr>
                          <w:t>(10 członków – przedstawiciele wszystkich gmin)</w:t>
                        </w:r>
                      </w:p>
                      <w:p w:rsidR="00F2264C" w:rsidRPr="00C1580E" w:rsidRDefault="00F2264C"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F2264C" w:rsidRDefault="00F2264C" w:rsidP="009E615C">
                        <w:pPr>
                          <w:jc w:val="center"/>
                          <w:rPr>
                            <w:rFonts w:ascii="Verdana" w:hAnsi="Verdana"/>
                            <w:b/>
                            <w:sz w:val="20"/>
                            <w:szCs w:val="20"/>
                          </w:rPr>
                        </w:pPr>
                        <w:r>
                          <w:rPr>
                            <w:rFonts w:ascii="Verdana" w:hAnsi="Verdana"/>
                            <w:b/>
                            <w:sz w:val="20"/>
                            <w:szCs w:val="20"/>
                          </w:rPr>
                          <w:t>KOMISJA REWIZYJNA</w:t>
                        </w:r>
                      </w:p>
                      <w:p w:rsidR="00F2264C" w:rsidRDefault="00F2264C" w:rsidP="009E615C">
                        <w:pPr>
                          <w:jc w:val="center"/>
                          <w:rPr>
                            <w:rFonts w:ascii="Verdana" w:hAnsi="Verdana"/>
                            <w:sz w:val="20"/>
                            <w:szCs w:val="20"/>
                          </w:rPr>
                        </w:pPr>
                        <w:r>
                          <w:rPr>
                            <w:rFonts w:ascii="Verdana" w:hAnsi="Verdana"/>
                            <w:sz w:val="20"/>
                            <w:szCs w:val="20"/>
                          </w:rPr>
                          <w:t>(3 członków)</w:t>
                        </w:r>
                      </w:p>
                      <w:p w:rsidR="00F2264C" w:rsidRDefault="00F2264C"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F2264C" w:rsidRDefault="00F2264C"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Ind w:w="395" w:type="dxa"/>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8"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w:t>
      </w:r>
      <w:r w:rsidRPr="00B8287B">
        <w:rPr>
          <w:rFonts w:ascii="Times New Roman" w:eastAsia="SimSun" w:hAnsi="Times New Roman" w:cs="Times New Roman"/>
          <w:kern w:val="3"/>
          <w:lang w:eastAsia="zh-CN" w:bidi="hi-IN"/>
        </w:rPr>
        <w:lastRenderedPageBreak/>
        <w:t xml:space="preserve">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w:t>
      </w:r>
      <w:r w:rsidRPr="00B8287B">
        <w:rPr>
          <w:rFonts w:ascii="Times New Roman" w:eastAsia="SimSun" w:hAnsi="Times New Roman" w:cs="Times New Roman"/>
          <w:kern w:val="3"/>
          <w:lang w:eastAsia="zh-CN" w:bidi="hi-IN"/>
        </w:rPr>
        <w:lastRenderedPageBreak/>
        <w:t xml:space="preserve">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 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BA5A36" w:rsidRDefault="00B8287B" w:rsidP="00B8287B">
      <w:pPr>
        <w:suppressAutoHyphens/>
        <w:spacing w:after="0" w:line="240" w:lineRule="auto"/>
        <w:jc w:val="both"/>
        <w:rPr>
          <w:rFonts w:ascii="Times New Roman" w:eastAsia="Times New Roman" w:hAnsi="Times New Roman" w:cs="Times New Roman"/>
          <w:lang w:eastAsia="pl-PL"/>
        </w:rPr>
      </w:pPr>
      <w:r w:rsidRPr="00EB22F1">
        <w:rPr>
          <w:rFonts w:ascii="Times New Roman" w:eastAsia="Times New Roman" w:hAnsi="Times New Roman" w:cs="Times New Roman"/>
          <w:lang w:eastAsia="pl-PL"/>
        </w:rPr>
        <w:t xml:space="preserve">Zgodnie z podpisanym Porozumieniem o współpracy, planowany całkowity budżet projektu  wynosić będzie </w:t>
      </w:r>
      <w:r w:rsidRPr="00EA1544">
        <w:rPr>
          <w:rFonts w:ascii="Times New Roman" w:eastAsia="Times New Roman" w:hAnsi="Times New Roman" w:cs="Times New Roman"/>
          <w:b/>
          <w:strike/>
          <w:color w:val="FF0000"/>
          <w:lang w:eastAsia="pl-PL"/>
        </w:rPr>
        <w:t>1 080 000,00</w:t>
      </w:r>
      <w:r w:rsidR="008D4213">
        <w:rPr>
          <w:rFonts w:ascii="Times New Roman" w:eastAsia="Times New Roman" w:hAnsi="Times New Roman" w:cs="Times New Roman"/>
          <w:b/>
          <w:strike/>
          <w:color w:val="FF0000"/>
          <w:lang w:eastAsia="pl-PL"/>
        </w:rPr>
        <w:t xml:space="preserve">  </w:t>
      </w:r>
      <w:r w:rsidR="008D4213">
        <w:rPr>
          <w:rFonts w:ascii="Times New Roman" w:eastAsia="Times New Roman" w:hAnsi="Times New Roman" w:cs="Times New Roman"/>
          <w:b/>
          <w:color w:val="FF0000"/>
          <w:lang w:eastAsia="pl-PL"/>
        </w:rPr>
        <w:t xml:space="preserve"> 1 195 622,50zł</w:t>
      </w:r>
      <w:bookmarkStart w:id="30" w:name="_GoBack"/>
      <w:bookmarkEnd w:id="30"/>
      <w:r w:rsidRPr="00EA1544">
        <w:rPr>
          <w:rFonts w:ascii="Times New Roman" w:eastAsia="Times New Roman" w:hAnsi="Times New Roman" w:cs="Times New Roman"/>
          <w:color w:val="FF0000"/>
          <w:lang w:eastAsia="pl-PL"/>
        </w:rPr>
        <w:t xml:space="preserve"> </w:t>
      </w:r>
      <w:r w:rsidRPr="00EB22F1">
        <w:rPr>
          <w:rFonts w:ascii="Times New Roman" w:eastAsia="Times New Roman" w:hAnsi="Times New Roman" w:cs="Times New Roman"/>
          <w:lang w:eastAsia="pl-PL"/>
        </w:rPr>
        <w:t xml:space="preserve">zł w proporcjach określonych w Porozumieniu. LGD „Ziemia Jędrzejowska – GRYF” </w:t>
      </w:r>
      <w:r w:rsidR="00E9592E" w:rsidRPr="00EB22F1">
        <w:rPr>
          <w:rFonts w:ascii="Times New Roman" w:eastAsia="Times New Roman" w:hAnsi="Times New Roman" w:cs="Times New Roman"/>
          <w:lang w:eastAsia="pl-PL"/>
        </w:rPr>
        <w:t xml:space="preserve">zaplanowała budżet w wysokości </w:t>
      </w:r>
      <w:r w:rsidR="00E9592E" w:rsidRPr="00BA5A36">
        <w:rPr>
          <w:rFonts w:ascii="Times New Roman" w:eastAsia="Times New Roman" w:hAnsi="Times New Roman" w:cs="Times New Roman"/>
          <w:strike/>
          <w:color w:val="FF0000"/>
          <w:lang w:eastAsia="pl-PL"/>
        </w:rPr>
        <w:t>177 449</w:t>
      </w:r>
      <w:r w:rsidRPr="00BA5A36">
        <w:rPr>
          <w:rFonts w:ascii="Times New Roman" w:eastAsia="Times New Roman" w:hAnsi="Times New Roman" w:cs="Times New Roman"/>
          <w:strike/>
          <w:color w:val="FF0000"/>
          <w:lang w:eastAsia="pl-PL"/>
        </w:rPr>
        <w:t>,00</w:t>
      </w:r>
      <w:r w:rsidR="00BA5A36">
        <w:rPr>
          <w:rFonts w:ascii="Times New Roman" w:eastAsia="Times New Roman" w:hAnsi="Times New Roman" w:cs="Times New Roman"/>
          <w:strike/>
          <w:color w:val="FF0000"/>
          <w:lang w:eastAsia="pl-PL"/>
        </w:rPr>
        <w:t xml:space="preserve"> </w:t>
      </w:r>
      <w:r w:rsidR="00BA5A36">
        <w:rPr>
          <w:rFonts w:ascii="Times New Roman" w:eastAsia="Times New Roman" w:hAnsi="Times New Roman" w:cs="Times New Roman"/>
          <w:color w:val="FF0000"/>
          <w:lang w:eastAsia="pl-PL"/>
        </w:rPr>
        <w:t xml:space="preserve"> 443622,51</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Zakłada się, że realizacja rzeczowa projektu rozpocznie się w </w:t>
      </w:r>
      <w:r w:rsidRPr="00EA1544">
        <w:rPr>
          <w:rFonts w:ascii="Times New Roman" w:eastAsia="Times New Roman" w:hAnsi="Times New Roman" w:cs="Times New Roman"/>
          <w:strike/>
          <w:color w:val="FF0000"/>
          <w:lang w:eastAsia="pl-PL"/>
        </w:rPr>
        <w:t>2017</w:t>
      </w:r>
      <w:r w:rsidRPr="00B8287B">
        <w:rPr>
          <w:rFonts w:ascii="Times New Roman" w:eastAsia="Times New Roman" w:hAnsi="Times New Roman" w:cs="Times New Roman"/>
          <w:lang w:eastAsia="pl-PL"/>
        </w:rPr>
        <w:t xml:space="preserve"> </w:t>
      </w:r>
      <w:r w:rsidR="00EA1544">
        <w:rPr>
          <w:rFonts w:ascii="Times New Roman" w:eastAsia="Times New Roman" w:hAnsi="Times New Roman" w:cs="Times New Roman"/>
          <w:color w:val="FF0000"/>
          <w:lang w:eastAsia="pl-PL"/>
        </w:rPr>
        <w:t xml:space="preserve">2018 </w:t>
      </w:r>
      <w:r w:rsidRPr="00B8287B">
        <w:rPr>
          <w:rFonts w:ascii="Times New Roman" w:eastAsia="Times New Roman" w:hAnsi="Times New Roman" w:cs="Times New Roman"/>
          <w:lang w:eastAsia="pl-PL"/>
        </w:rPr>
        <w:t xml:space="preserve">roku i całkowite jego rozliczenie nastąpi do końca 2019 r. Konkretny 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portal, który zepnie istniejące i nowoutworzone szlaki turystyczne z obszarów zaangażowanych Lokalnych Grup Działania. Będzie to aplikacja opisująca:</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poszczególne rodzaje szlaków,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atrakcje znajdujące się w pobliżu ich przebiegu,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będzie szacowała czas przemierzenia szlaku w zależności od środka lokomocji (pieszy, rowerowy, samochodowy) i prowadziła turystę z wykorzystaniem sygnałów GPS oraz map </w:t>
      </w:r>
      <w:r w:rsidRPr="00EA1544">
        <w:rPr>
          <w:rFonts w:ascii="Times New Roman" w:eastAsia="Times New Roman" w:hAnsi="Times New Roman" w:cs="Times New Roman"/>
          <w:strike/>
          <w:color w:val="FF0000"/>
          <w:lang w:eastAsia="pl-PL"/>
        </w:rPr>
        <w:t>Google</w:t>
      </w:r>
    </w:p>
    <w:p w:rsidR="00B8287B" w:rsidRPr="00EA1544" w:rsidRDefault="00B8287B" w:rsidP="00B8287B">
      <w:pPr>
        <w:suppressAutoHyphens/>
        <w:spacing w:after="0" w:line="240" w:lineRule="auto"/>
        <w:jc w:val="both"/>
        <w:rPr>
          <w:rFonts w:ascii="Times New Roman" w:eastAsia="Times New Roman" w:hAnsi="Times New Roman" w:cs="Times New Roman"/>
          <w:strike/>
          <w:color w:val="FF0000"/>
          <w:lang w:eastAsia="pl-PL"/>
        </w:rPr>
      </w:pPr>
      <w:r w:rsidRPr="00EA1544">
        <w:rPr>
          <w:rFonts w:ascii="Times New Roman" w:eastAsia="Times New Roman" w:hAnsi="Times New Roman" w:cs="Times New Roman"/>
          <w:strike/>
          <w:color w:val="FF0000"/>
          <w:lang w:eastAsia="pl-PL"/>
        </w:rPr>
        <w:t xml:space="preserve">W ramach projektu zostanie przeprowadzona kampania promująca szlaki obszaru realizacji projektu z wykorzystaniem systemu identyfikacji wizualnej. </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lastRenderedPageBreak/>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48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49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Ind w:w="-317" w:type="dxa"/>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lastRenderedPageBreak/>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Ponadto w procedurze wyboru i oceny grantobiorców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Default="000453B9" w:rsidP="009E615C">
            <w:pPr>
              <w:suppressAutoHyphens/>
              <w:jc w:val="right"/>
              <w:rPr>
                <w:strike/>
                <w:color w:val="FF0000"/>
              </w:rPr>
            </w:pPr>
            <w:r w:rsidRPr="00EF52F6">
              <w:rPr>
                <w:strike/>
                <w:color w:val="FF0000"/>
              </w:rPr>
              <w:t>177 449</w:t>
            </w:r>
            <w:r w:rsidR="009E615C" w:rsidRPr="00EF52F6">
              <w:rPr>
                <w:strike/>
                <w:color w:val="FF0000"/>
              </w:rPr>
              <w:t>,00</w:t>
            </w:r>
          </w:p>
          <w:p w:rsidR="00EF52F6" w:rsidRPr="00EF52F6" w:rsidRDefault="00EF52F6" w:rsidP="009E615C">
            <w:pPr>
              <w:suppressAutoHyphens/>
              <w:jc w:val="right"/>
            </w:pPr>
            <w:r>
              <w:rPr>
                <w:color w:val="FF0000"/>
              </w:rPr>
              <w:t>443622,50</w:t>
            </w:r>
          </w:p>
        </w:tc>
        <w:tc>
          <w:tcPr>
            <w:tcW w:w="1858" w:type="dxa"/>
            <w:tcBorders>
              <w:left w:val="single" w:sz="12" w:space="0" w:color="auto"/>
              <w:right w:val="single" w:sz="12" w:space="0" w:color="auto"/>
            </w:tcBorders>
            <w:vAlign w:val="center"/>
          </w:tcPr>
          <w:p w:rsidR="009E615C" w:rsidRDefault="000453B9" w:rsidP="009E615C">
            <w:pPr>
              <w:suppressAutoHyphens/>
              <w:jc w:val="right"/>
              <w:rPr>
                <w:color w:val="FF0000"/>
              </w:rPr>
            </w:pPr>
            <w:r w:rsidRPr="00EF52F6">
              <w:rPr>
                <w:strike/>
                <w:color w:val="FF0000"/>
              </w:rPr>
              <w:t>177 449,00</w:t>
            </w:r>
          </w:p>
          <w:p w:rsidR="00EF52F6" w:rsidRPr="00EF52F6" w:rsidRDefault="00EF52F6" w:rsidP="009E615C">
            <w:pPr>
              <w:suppressAutoHyphens/>
              <w:jc w:val="right"/>
            </w:pPr>
            <w:r>
              <w:rPr>
                <w:color w:val="FF0000"/>
              </w:rPr>
              <w:t>443622,50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1 818 852,28</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177 449,00</w:t>
            </w:r>
          </w:p>
        </w:tc>
        <w:tc>
          <w:tcPr>
            <w:tcW w:w="1858" w:type="dxa"/>
            <w:tcBorders>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EF52F6" w:rsidRDefault="000453B9" w:rsidP="009E615C">
            <w:pPr>
              <w:suppressAutoHyphens/>
              <w:jc w:val="right"/>
            </w:pPr>
            <w:r w:rsidRPr="00EF52F6">
              <w:rPr>
                <w:strike/>
                <w:color w:val="FF0000"/>
              </w:rPr>
              <w:t>11 046 200,40</w:t>
            </w:r>
            <w:r w:rsidR="00EF52F6">
              <w:rPr>
                <w:strike/>
                <w:color w:val="FF0000"/>
              </w:rPr>
              <w:t xml:space="preserve"> </w:t>
            </w:r>
            <w:r w:rsidR="00EF52F6">
              <w:rPr>
                <w:color w:val="FF0000"/>
              </w:rPr>
              <w:t>11 312 373,90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B97962" w:rsidRDefault="00EF52F6" w:rsidP="009E615C">
            <w:pPr>
              <w:suppressAutoHyphens/>
              <w:jc w:val="right"/>
            </w:pPr>
            <w:r w:rsidRPr="00EF52F6">
              <w:rPr>
                <w:strike/>
                <w:color w:val="FF0000"/>
              </w:rPr>
              <w:t>11 046 200,40</w:t>
            </w:r>
            <w:r>
              <w:rPr>
                <w:strike/>
                <w:color w:val="FF0000"/>
              </w:rPr>
              <w:t xml:space="preserve"> </w:t>
            </w:r>
            <w:r>
              <w:rPr>
                <w:color w:val="FF0000"/>
              </w:rPr>
              <w:t>11 312 373,90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B97962" w:rsidRDefault="000453B9" w:rsidP="009E615C">
            <w:pPr>
              <w:suppressAutoHyphens/>
              <w:jc w:val="right"/>
            </w:pPr>
            <w:r w:rsidRPr="00B97962">
              <w:t>5 645 540,01</w:t>
            </w:r>
          </w:p>
        </w:tc>
        <w:tc>
          <w:tcPr>
            <w:tcW w:w="1709" w:type="dxa"/>
            <w:tcBorders>
              <w:top w:val="single" w:sz="12" w:space="0" w:color="auto"/>
              <w:bottom w:val="single" w:sz="4" w:space="0" w:color="auto"/>
            </w:tcBorders>
            <w:vAlign w:val="center"/>
          </w:tcPr>
          <w:p w:rsidR="009E615C" w:rsidRPr="00B97962" w:rsidRDefault="000453B9" w:rsidP="009E615C">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9E615C" w:rsidRPr="00B97962" w:rsidRDefault="009E615C" w:rsidP="009E615C">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EF52F6" w:rsidRDefault="00E85DE1" w:rsidP="00826527">
      <w:pPr>
        <w:widowControl w:val="0"/>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Po korekcie finansowej</w:t>
      </w:r>
      <w:r w:rsidR="0005325D" w:rsidRPr="00EF52F6">
        <w:rPr>
          <w:rFonts w:ascii="Times New Roman" w:eastAsia="SimSun" w:hAnsi="Times New Roman" w:cs="Mangal"/>
          <w:strike/>
          <w:color w:val="FF0000"/>
          <w:kern w:val="3"/>
          <w:lang w:eastAsia="zh-CN" w:bidi="hi-IN"/>
        </w:rPr>
        <w:t xml:space="preserve"> jest</w:t>
      </w:r>
      <w:r w:rsidR="00EF52F6">
        <w:rPr>
          <w:rFonts w:ascii="Times New Roman" w:eastAsia="SimSun" w:hAnsi="Times New Roman" w:cs="Mangal"/>
          <w:kern w:val="3"/>
          <w:lang w:eastAsia="zh-CN" w:bidi="hi-IN"/>
        </w:rPr>
        <w:t xml:space="preserve"> </w:t>
      </w:r>
      <w:r w:rsidR="00EF52F6">
        <w:rPr>
          <w:rFonts w:ascii="Times New Roman" w:eastAsia="SimSun" w:hAnsi="Times New Roman" w:cs="Mangal"/>
          <w:color w:val="FF0000"/>
          <w:kern w:val="3"/>
          <w:lang w:eastAsia="zh-CN" w:bidi="hi-IN"/>
        </w:rPr>
        <w:t>była</w:t>
      </w:r>
      <w:r w:rsidR="0005325D" w:rsidRPr="00762ABA">
        <w:rPr>
          <w:rFonts w:ascii="Times New Roman" w:eastAsia="SimSun" w:hAnsi="Times New Roman" w:cs="Mangal"/>
          <w:kern w:val="3"/>
          <w:lang w:eastAsia="zh-CN" w:bidi="hi-IN"/>
        </w:rPr>
        <w:t xml:space="preserve"> to kwota 177449</w:t>
      </w:r>
      <w:r w:rsidR="00952809" w:rsidRPr="00762ABA">
        <w:rPr>
          <w:rFonts w:ascii="Times New Roman" w:eastAsia="SimSun" w:hAnsi="Times New Roman" w:cs="Mangal"/>
          <w:kern w:val="3"/>
          <w:lang w:eastAsia="zh-CN" w:bidi="hi-IN"/>
        </w:rPr>
        <w:t>,00</w:t>
      </w:r>
      <w:r w:rsidR="0005325D" w:rsidRPr="00762ABA">
        <w:rPr>
          <w:rFonts w:ascii="Times New Roman" w:eastAsia="SimSun" w:hAnsi="Times New Roman" w:cs="Mangal"/>
          <w:kern w:val="3"/>
          <w:lang w:eastAsia="zh-CN" w:bidi="hi-IN"/>
        </w:rPr>
        <w:t xml:space="preserve"> zł. </w:t>
      </w:r>
      <w:r w:rsidRPr="00EF52F6">
        <w:rPr>
          <w:rFonts w:ascii="Times New Roman" w:eastAsia="SimSun" w:hAnsi="Times New Roman" w:cs="Mangal"/>
          <w:strike/>
          <w:color w:val="FF0000"/>
          <w:kern w:val="3"/>
          <w:lang w:eastAsia="zh-CN" w:bidi="hi-IN"/>
        </w:rPr>
        <w:t>Należy jednak zauważyć, że wskaźnik dotyczący działania z zakresu współpracy odnosi się do wyższej kwoty (5% wartości przewidzianej na poddziałanie 19.2), w</w:t>
      </w:r>
      <w:r w:rsidR="00952809" w:rsidRPr="00EF52F6">
        <w:rPr>
          <w:rFonts w:ascii="Times New Roman" w:eastAsia="SimSun" w:hAnsi="Times New Roman" w:cs="Mangal"/>
          <w:strike/>
          <w:color w:val="FF0000"/>
          <w:kern w:val="3"/>
          <w:lang w:eastAsia="zh-CN" w:bidi="hi-IN"/>
        </w:rPr>
        <w:t> </w:t>
      </w:r>
      <w:r w:rsidRPr="00EF52F6">
        <w:rPr>
          <w:rFonts w:ascii="Times New Roman" w:eastAsia="SimSun" w:hAnsi="Times New Roman" w:cs="Mangal"/>
          <w:strike/>
          <w:color w:val="FF0000"/>
          <w:kern w:val="3"/>
          <w:lang w:eastAsia="zh-CN" w:bidi="hi-IN"/>
        </w:rPr>
        <w:t>zawiązku z czym w momencie, gdy zajdzie taka możliwość LGD ubiegać się będzie o zwiększenie kwoty na realizację współpracy.</w:t>
      </w:r>
      <w:r w:rsidR="00EF52F6">
        <w:rPr>
          <w:rFonts w:ascii="Times New Roman" w:eastAsia="SimSun" w:hAnsi="Times New Roman" w:cs="Mangal"/>
          <w:strike/>
          <w:color w:val="FF0000"/>
          <w:kern w:val="3"/>
          <w:lang w:eastAsia="zh-CN" w:bidi="hi-IN"/>
        </w:rPr>
        <w:t xml:space="preserve"> </w:t>
      </w:r>
      <w:r w:rsidR="00EF52F6">
        <w:rPr>
          <w:rFonts w:ascii="Times New Roman" w:eastAsia="SimSun" w:hAnsi="Times New Roman" w:cs="Mangal"/>
          <w:color w:val="FF0000"/>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lastRenderedPageBreak/>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w:t>
      </w:r>
      <w:r w:rsidRPr="009E615C">
        <w:rPr>
          <w:rFonts w:ascii="Times New Roman" w:eastAsia="SimSun" w:hAnsi="Times New Roman" w:cs="Mangal"/>
          <w:kern w:val="3"/>
          <w:lang w:eastAsia="zh-CN" w:bidi="hi-IN"/>
        </w:rPr>
        <w:lastRenderedPageBreak/>
        <w:t>naprawczych w przypadku stwierdzenia nieprawidłowości. Będzie to możliwe dzięki zastosowaniu opisanych poniżej 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 </w:t>
      </w:r>
      <w:r w:rsidR="000329E6" w:rsidRPr="000329E6">
        <w:rPr>
          <w:rFonts w:ascii="Times New Roman" w:eastAsia="SimSun" w:hAnsi="Times New Roman" w:cs="Mangal"/>
          <w:color w:val="FF0000"/>
          <w:kern w:val="3"/>
          <w:lang w:eastAsia="zh-CN" w:bidi="hi-IN"/>
        </w:rPr>
        <w:t>4</w:t>
      </w:r>
      <w:r w:rsidRPr="000329E6">
        <w:rPr>
          <w:rFonts w:ascii="Times New Roman" w:eastAsia="SimSun" w:hAnsi="Times New Roman" w:cs="Mangal"/>
          <w:color w:val="FF0000"/>
          <w:kern w:val="3"/>
          <w:lang w:eastAsia="zh-CN" w:bidi="hi-IN"/>
        </w:rPr>
        <w:t xml:space="preserve"> </w:t>
      </w:r>
      <w:r w:rsidRPr="009E615C">
        <w:rPr>
          <w:rFonts w:ascii="Times New Roman" w:eastAsia="SimSun" w:hAnsi="Times New Roman" w:cs="Mangal"/>
          <w:kern w:val="3"/>
          <w:lang w:eastAsia="zh-CN" w:bidi="hi-IN"/>
        </w:rPr>
        <w:t>turach,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0329E6">
        <w:rPr>
          <w:rFonts w:ascii="Times New Roman" w:eastAsia="SimSun" w:hAnsi="Times New Roman" w:cs="Mangal"/>
          <w:kern w:val="3"/>
          <w:lang w:eastAsia="zh-CN" w:bidi="hi-IN"/>
        </w:rPr>
        <w:t>Ewaluacja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0329E6">
        <w:rPr>
          <w:rFonts w:ascii="Times New Roman" w:eastAsia="SimSun" w:hAnsi="Times New Roman" w:cs="Mangal"/>
          <w:color w:val="FF0000"/>
          <w:kern w:val="3"/>
          <w:lang w:eastAsia="zh-CN" w:bidi="hi-IN"/>
        </w:rPr>
        <w:t>Ewaluacja on-</w:t>
      </w:r>
      <w:proofErr w:type="spellStart"/>
      <w:r w:rsidRPr="000329E6">
        <w:rPr>
          <w:rFonts w:ascii="Times New Roman" w:eastAsia="SimSun" w:hAnsi="Times New Roman" w:cs="Mangal"/>
          <w:color w:val="FF0000"/>
          <w:kern w:val="3"/>
          <w:lang w:eastAsia="zh-CN" w:bidi="hi-IN"/>
        </w:rPr>
        <w:t>going</w:t>
      </w:r>
      <w:proofErr w:type="spellEnd"/>
      <w:r w:rsidRPr="000329E6">
        <w:rPr>
          <w:rFonts w:ascii="Times New Roman" w:eastAsia="SimSun" w:hAnsi="Times New Roman" w:cs="Mangal"/>
          <w:color w:val="FF0000"/>
          <w:kern w:val="3"/>
          <w:lang w:eastAsia="zh-CN" w:bidi="hi-IN"/>
        </w:rPr>
        <w:t xml:space="preserve"> </w:t>
      </w:r>
      <w:r w:rsidR="00A2443E">
        <w:rPr>
          <w:rFonts w:ascii="Times New Roman" w:eastAsia="SimSun" w:hAnsi="Times New Roman" w:cs="Mangal"/>
          <w:color w:val="FF0000"/>
          <w:kern w:val="3"/>
          <w:lang w:eastAsia="zh-CN" w:bidi="hi-IN"/>
        </w:rPr>
        <w:t>(od 2018 roku)</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 koordynację działań związanych z monitoringiem odpowiedzialny będzie wyznaczony </w:t>
      </w:r>
      <w:r w:rsidRPr="000329E6">
        <w:rPr>
          <w:rFonts w:ascii="Times New Roman" w:eastAsia="SimSun" w:hAnsi="Times New Roman" w:cs="Mangal"/>
          <w:strike/>
          <w:color w:val="FF0000"/>
          <w:kern w:val="3"/>
          <w:lang w:eastAsia="zh-CN" w:bidi="hi-IN"/>
        </w:rPr>
        <w:t>przez Zarząd LGD</w:t>
      </w:r>
      <w:r w:rsidRPr="000329E6">
        <w:rPr>
          <w:rFonts w:ascii="Times New Roman" w:eastAsia="SimSun" w:hAnsi="Times New Roman" w:cs="Mangal"/>
          <w:color w:val="FF0000"/>
          <w:kern w:val="3"/>
          <w:lang w:eastAsia="zh-CN" w:bidi="hi-IN"/>
        </w:rPr>
        <w:t xml:space="preserve"> </w:t>
      </w:r>
      <w:r w:rsidRPr="009E615C">
        <w:rPr>
          <w:rFonts w:ascii="Times New Roman" w:eastAsia="SimSun" w:hAnsi="Times New Roman" w:cs="Mangal"/>
          <w:kern w:val="3"/>
          <w:lang w:eastAsia="zh-CN" w:bidi="hi-IN"/>
        </w:rPr>
        <w:t>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Pr="000329E6">
        <w:rPr>
          <w:rFonts w:ascii="Times New Roman" w:eastAsia="SimSun" w:hAnsi="Times New Roman" w:cs="Mangal"/>
          <w:strike/>
          <w:color w:val="FF0000"/>
          <w:kern w:val="3"/>
          <w:lang w:eastAsia="zh-CN" w:bidi="hi-IN"/>
        </w:rPr>
        <w:t>wyznaczony pracownik LGD</w:t>
      </w:r>
      <w:r w:rsidRPr="000329E6">
        <w:rPr>
          <w:rFonts w:ascii="Times New Roman" w:eastAsia="SimSun" w:hAnsi="Times New Roman" w:cs="Mangal"/>
          <w:kern w:val="3"/>
          <w:lang w:eastAsia="zh-CN" w:bidi="hi-IN"/>
        </w:rPr>
        <w:t xml:space="preserve"> </w:t>
      </w:r>
      <w:r w:rsidR="00F07B8F">
        <w:rPr>
          <w:rFonts w:ascii="Times New Roman" w:eastAsia="SimSun" w:hAnsi="Times New Roman" w:cs="Mangal"/>
          <w:color w:val="FF0000"/>
          <w:kern w:val="3"/>
          <w:lang w:eastAsia="zh-CN" w:bidi="hi-IN"/>
        </w:rPr>
        <w:t>firma zewnętrzna</w:t>
      </w:r>
      <w:r w:rsidR="000329E6">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 xml:space="preserve"> przypadku stwierdzenia przez mieszkańców nieprawi</w:t>
      </w:r>
      <w:r w:rsidR="00F07B8F">
        <w:rPr>
          <w:rFonts w:ascii="Times New Roman" w:eastAsia="SimSun" w:hAnsi="Times New Roman" w:cs="Mangal"/>
          <w:kern w:val="3"/>
          <w:lang w:eastAsia="zh-CN" w:bidi="hi-IN"/>
        </w:rPr>
        <w:t>dłowości w funkcjonowaniu LDG, Z</w:t>
      </w:r>
      <w:r w:rsidRPr="009E615C">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Badania ankietowe mieszkańców obszaru LGD oraz </w:t>
      </w:r>
      <w:r w:rsidRPr="00BF1778">
        <w:rPr>
          <w:rFonts w:ascii="Times New Roman" w:eastAsia="SimSun" w:hAnsi="Times New Roman" w:cs="Mangal"/>
          <w:strike/>
          <w:color w:val="FF0000"/>
          <w:kern w:val="3"/>
          <w:lang w:eastAsia="zh-CN" w:bidi="hi-IN"/>
        </w:rPr>
        <w:t>spotkania informacyjno-konsultacyjne</w:t>
      </w:r>
      <w:r w:rsidRPr="00BF1778">
        <w:rPr>
          <w:rFonts w:ascii="Times New Roman" w:eastAsia="SimSun" w:hAnsi="Times New Roman" w:cs="Mangal"/>
          <w:color w:val="FF0000"/>
          <w:kern w:val="3"/>
          <w:lang w:eastAsia="zh-CN" w:bidi="hi-IN"/>
        </w:rPr>
        <w:t xml:space="preserve"> </w:t>
      </w:r>
      <w:r w:rsidR="00BF1778">
        <w:rPr>
          <w:rFonts w:ascii="Times New Roman" w:eastAsia="SimSun" w:hAnsi="Times New Roman" w:cs="Mangal"/>
          <w:color w:val="FF0000"/>
          <w:kern w:val="3"/>
          <w:lang w:eastAsia="zh-CN" w:bidi="hi-IN"/>
        </w:rPr>
        <w:t xml:space="preserve">warsztaty refleksyjne </w:t>
      </w:r>
      <w:r w:rsidRPr="009E615C">
        <w:rPr>
          <w:rFonts w:ascii="Times New Roman" w:eastAsia="SimSun" w:hAnsi="Times New Roman" w:cs="Mangal"/>
          <w:kern w:val="3"/>
          <w:lang w:eastAsia="zh-CN" w:bidi="hi-IN"/>
        </w:rPr>
        <w:t xml:space="preserve">realizowane będą </w:t>
      </w:r>
      <w:r w:rsidRPr="00F07B8F">
        <w:rPr>
          <w:rFonts w:ascii="Times New Roman" w:eastAsia="SimSun" w:hAnsi="Times New Roman" w:cs="Mangal"/>
          <w:strike/>
          <w:color w:val="FF0000"/>
          <w:kern w:val="3"/>
          <w:lang w:eastAsia="zh-CN" w:bidi="hi-IN"/>
        </w:rPr>
        <w:t>w  grudniu</w:t>
      </w:r>
      <w:r w:rsidRPr="009E615C">
        <w:rPr>
          <w:rFonts w:ascii="Times New Roman" w:eastAsia="SimSun" w:hAnsi="Times New Roman" w:cs="Mangal"/>
          <w:kern w:val="3"/>
          <w:lang w:eastAsia="zh-CN" w:bidi="hi-IN"/>
        </w:rPr>
        <w:t xml:space="preserve"> każdego roku realizacji LSR, począwszy </w:t>
      </w:r>
      <w:r w:rsidRPr="00F07B8F">
        <w:rPr>
          <w:rFonts w:ascii="Times New Roman" w:eastAsia="SimSun" w:hAnsi="Times New Roman" w:cs="Mangal"/>
          <w:strike/>
          <w:color w:val="FF0000"/>
          <w:kern w:val="3"/>
          <w:lang w:eastAsia="zh-CN" w:bidi="hi-IN"/>
        </w:rPr>
        <w:t>do grudnia 2016 roku</w:t>
      </w:r>
      <w:r w:rsidR="00F07B8F">
        <w:rPr>
          <w:rFonts w:ascii="Times New Roman" w:eastAsia="SimSun" w:hAnsi="Times New Roman" w:cs="Mangal"/>
          <w:strike/>
          <w:color w:val="FF0000"/>
          <w:kern w:val="3"/>
          <w:lang w:eastAsia="zh-CN" w:bidi="hi-IN"/>
        </w:rPr>
        <w:t xml:space="preserve"> </w:t>
      </w:r>
      <w:r w:rsidR="00F07B8F">
        <w:rPr>
          <w:rFonts w:ascii="Times New Roman" w:eastAsia="SimSun" w:hAnsi="Times New Roman" w:cs="Mangal"/>
          <w:color w:val="FF0000"/>
          <w:kern w:val="3"/>
          <w:lang w:eastAsia="zh-CN" w:bidi="hi-IN"/>
        </w:rPr>
        <w:t xml:space="preserve"> od 2017 roku</w:t>
      </w:r>
      <w:r w:rsidRPr="009E615C">
        <w:rPr>
          <w:rFonts w:ascii="Times New Roman" w:eastAsia="SimSun" w:hAnsi="Times New Roman" w:cs="Mangal"/>
          <w:kern w:val="3"/>
          <w:lang w:eastAsia="zh-CN" w:bidi="hi-IN"/>
        </w:rPr>
        <w:t>. Raport</w:t>
      </w:r>
      <w:r w:rsidR="00BF1778">
        <w:rPr>
          <w:rFonts w:ascii="Times New Roman" w:eastAsia="SimSun" w:hAnsi="Times New Roman" w:cs="Mangal"/>
          <w:kern w:val="3"/>
          <w:lang w:eastAsia="zh-CN" w:bidi="hi-IN"/>
        </w:rPr>
        <w:t xml:space="preserve"> </w:t>
      </w:r>
      <w:r w:rsidR="00BF1778">
        <w:rPr>
          <w:rFonts w:ascii="Times New Roman" w:eastAsia="SimSun" w:hAnsi="Times New Roman" w:cs="Mangal"/>
          <w:color w:val="FF0000"/>
          <w:kern w:val="3"/>
          <w:lang w:eastAsia="zh-CN" w:bidi="hi-IN"/>
        </w:rPr>
        <w:t>(protokół)</w:t>
      </w:r>
      <w:r w:rsidRPr="009E615C">
        <w:rPr>
          <w:rFonts w:ascii="Times New Roman" w:eastAsia="SimSun" w:hAnsi="Times New Roman" w:cs="Mangal"/>
          <w:kern w:val="3"/>
          <w:lang w:eastAsia="zh-CN" w:bidi="hi-IN"/>
        </w:rPr>
        <w:t xml:space="preserve"> z monitoringu zostanie opracowany i  poddany konsultacjom społecznym w </w:t>
      </w:r>
      <w:r w:rsidRPr="00F07B8F">
        <w:rPr>
          <w:rFonts w:ascii="Times New Roman" w:eastAsia="SimSun" w:hAnsi="Times New Roman" w:cs="Mangal"/>
          <w:strike/>
          <w:color w:val="FF0000"/>
          <w:kern w:val="3"/>
          <w:lang w:eastAsia="zh-CN" w:bidi="hi-IN"/>
        </w:rPr>
        <w:t>styczniu</w:t>
      </w:r>
      <w:r w:rsidR="00F07B8F">
        <w:rPr>
          <w:rFonts w:ascii="Times New Roman" w:eastAsia="SimSun" w:hAnsi="Times New Roman" w:cs="Mangal"/>
          <w:color w:val="FF0000"/>
          <w:kern w:val="3"/>
          <w:lang w:eastAsia="zh-CN" w:bidi="hi-IN"/>
        </w:rPr>
        <w:t xml:space="preserve"> lutym</w:t>
      </w:r>
      <w:r w:rsidRPr="009E615C">
        <w:rPr>
          <w:rFonts w:ascii="Times New Roman" w:eastAsia="SimSun" w:hAnsi="Times New Roman" w:cs="Mangal"/>
          <w:kern w:val="3"/>
          <w:lang w:eastAsia="zh-CN" w:bidi="hi-IN"/>
        </w:rPr>
        <w:t xml:space="preserve"> każdego roku realizacji LSR, począwszy od </w:t>
      </w:r>
      <w:r w:rsidRPr="00BF1778">
        <w:rPr>
          <w:rFonts w:ascii="Times New Roman" w:eastAsia="SimSun" w:hAnsi="Times New Roman" w:cs="Mangal"/>
          <w:strike/>
          <w:color w:val="FF0000"/>
          <w:kern w:val="3"/>
          <w:lang w:eastAsia="zh-CN" w:bidi="hi-IN"/>
        </w:rPr>
        <w:t>stycznia 2017</w:t>
      </w:r>
      <w:r w:rsidRPr="00BF1778">
        <w:rPr>
          <w:rFonts w:ascii="Times New Roman" w:eastAsia="SimSun" w:hAnsi="Times New Roman" w:cs="Mangal"/>
          <w:color w:val="FF0000"/>
          <w:kern w:val="3"/>
          <w:lang w:eastAsia="zh-CN" w:bidi="hi-IN"/>
        </w:rPr>
        <w:t xml:space="preserve"> </w:t>
      </w:r>
      <w:r w:rsidR="00BF1778">
        <w:rPr>
          <w:rFonts w:ascii="Times New Roman" w:eastAsia="SimSun" w:hAnsi="Times New Roman" w:cs="Mangal"/>
          <w:color w:val="FF0000"/>
          <w:kern w:val="3"/>
          <w:lang w:eastAsia="zh-CN" w:bidi="hi-IN"/>
        </w:rPr>
        <w:t xml:space="preserve"> lutego 2018 </w:t>
      </w:r>
      <w:r w:rsidRPr="009E615C">
        <w:rPr>
          <w:rFonts w:ascii="Times New Roman" w:eastAsia="SimSun" w:hAnsi="Times New Roman" w:cs="Mangal"/>
          <w:kern w:val="3"/>
          <w:lang w:eastAsia="zh-CN" w:bidi="hi-IN"/>
        </w:rPr>
        <w:t>roku. Raport</w:t>
      </w:r>
      <w:r w:rsidR="00BF1778">
        <w:rPr>
          <w:rFonts w:ascii="Times New Roman" w:eastAsia="SimSun" w:hAnsi="Times New Roman" w:cs="Mangal"/>
          <w:kern w:val="3"/>
          <w:lang w:eastAsia="zh-CN" w:bidi="hi-IN"/>
        </w:rPr>
        <w:t xml:space="preserve"> </w:t>
      </w:r>
      <w:r w:rsidR="00BF1778" w:rsidRPr="00BF1778">
        <w:rPr>
          <w:rFonts w:ascii="Times New Roman" w:eastAsia="SimSun" w:hAnsi="Times New Roman" w:cs="Mangal"/>
          <w:color w:val="FF0000"/>
          <w:kern w:val="3"/>
          <w:lang w:eastAsia="zh-CN" w:bidi="hi-IN"/>
        </w:rPr>
        <w:t>(protokół)</w:t>
      </w:r>
      <w:r w:rsidRPr="00BF1778">
        <w:rPr>
          <w:rFonts w:ascii="Times New Roman" w:eastAsia="SimSun" w:hAnsi="Times New Roman" w:cs="Mangal"/>
          <w:color w:val="FF0000"/>
          <w:kern w:val="3"/>
          <w:lang w:eastAsia="zh-CN" w:bidi="hi-IN"/>
        </w:rPr>
        <w:t xml:space="preserve"> </w:t>
      </w:r>
      <w:r w:rsidRPr="009E615C">
        <w:rPr>
          <w:rFonts w:ascii="Times New Roman" w:eastAsia="SimSun" w:hAnsi="Times New Roman" w:cs="Mangal"/>
          <w:kern w:val="3"/>
          <w:lang w:eastAsia="zh-CN" w:bidi="hi-IN"/>
        </w:rPr>
        <w:t xml:space="preserve">z monitoringu będzie przekazywany </w:t>
      </w:r>
      <w:r w:rsidR="00BF1778">
        <w:rPr>
          <w:rFonts w:ascii="Times New Roman" w:eastAsia="SimSun" w:hAnsi="Times New Roman" w:cs="Mangal"/>
          <w:kern w:val="3"/>
          <w:lang w:eastAsia="zh-CN" w:bidi="hi-IN"/>
        </w:rPr>
        <w:t>Za</w:t>
      </w:r>
      <w:r w:rsidRPr="009E615C">
        <w:rPr>
          <w:rFonts w:ascii="Times New Roman" w:eastAsia="SimSun" w:hAnsi="Times New Roman" w:cs="Mangal"/>
          <w:kern w:val="3"/>
          <w:lang w:eastAsia="zh-CN" w:bidi="hi-IN"/>
        </w:rPr>
        <w:t xml:space="preserve">rządowi  do końca </w:t>
      </w:r>
      <w:r w:rsidRPr="00586AE4">
        <w:rPr>
          <w:rFonts w:ascii="Times New Roman" w:eastAsia="SimSun" w:hAnsi="Times New Roman" w:cs="Mangal"/>
          <w:strike/>
          <w:color w:val="FF0000"/>
          <w:kern w:val="3"/>
          <w:lang w:eastAsia="zh-CN" w:bidi="hi-IN"/>
        </w:rPr>
        <w:t>stycznia</w:t>
      </w:r>
      <w:r w:rsidRPr="009E615C">
        <w:rPr>
          <w:rFonts w:ascii="Times New Roman" w:eastAsia="SimSun" w:hAnsi="Times New Roman" w:cs="Mangal"/>
          <w:kern w:val="3"/>
          <w:lang w:eastAsia="zh-CN" w:bidi="hi-IN"/>
        </w:rPr>
        <w:t xml:space="preserve"> </w:t>
      </w:r>
      <w:r w:rsidR="00586AE4">
        <w:rPr>
          <w:rFonts w:ascii="Times New Roman" w:eastAsia="SimSun" w:hAnsi="Times New Roman" w:cs="Mangal"/>
          <w:color w:val="FF0000"/>
          <w:kern w:val="3"/>
          <w:lang w:eastAsia="zh-CN" w:bidi="hi-IN"/>
        </w:rPr>
        <w:t>lutego</w:t>
      </w:r>
      <w:r w:rsidR="00586AE4">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każdego roku realizacji LSR. W latach, w których prowadzona będzie ewaluacja, raport </w:t>
      </w:r>
      <w:r w:rsidR="00586AE4" w:rsidRPr="00586AE4">
        <w:rPr>
          <w:rFonts w:ascii="Times New Roman" w:eastAsia="SimSun" w:hAnsi="Times New Roman" w:cs="Mangal"/>
          <w:color w:val="FF0000"/>
          <w:kern w:val="3"/>
          <w:lang w:eastAsia="zh-CN" w:bidi="hi-IN"/>
        </w:rPr>
        <w:t xml:space="preserve">(protokół) </w:t>
      </w:r>
      <w:r w:rsidRPr="009E615C">
        <w:rPr>
          <w:rFonts w:ascii="Times New Roman" w:eastAsia="SimSun" w:hAnsi="Times New Roman" w:cs="Mangal"/>
          <w:kern w:val="3"/>
          <w:lang w:eastAsia="zh-CN" w:bidi="hi-IN"/>
        </w:rPr>
        <w:t>z monitoringu będzie częścią raportu ewaluacyjnego.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Pr="00586AE4">
        <w:rPr>
          <w:rFonts w:ascii="Times New Roman" w:eastAsia="SimSun" w:hAnsi="Times New Roman" w:cs="Mangal"/>
          <w:strike/>
          <w:color w:val="FF0000"/>
          <w:kern w:val="3"/>
          <w:lang w:eastAsia="zh-CN" w:bidi="hi-IN"/>
        </w:rPr>
        <w:t>miesiąc</w:t>
      </w:r>
      <w:r w:rsidR="00586AE4">
        <w:rPr>
          <w:rFonts w:ascii="Times New Roman" w:eastAsia="SimSun" w:hAnsi="Times New Roman" w:cs="Mangal"/>
          <w:kern w:val="3"/>
          <w:lang w:eastAsia="zh-CN" w:bidi="hi-IN"/>
        </w:rPr>
        <w:t xml:space="preserve"> </w:t>
      </w:r>
      <w:r w:rsidR="00586AE4" w:rsidRPr="00586AE4">
        <w:rPr>
          <w:rFonts w:ascii="Times New Roman" w:eastAsia="SimSun" w:hAnsi="Times New Roman" w:cs="Mangal"/>
          <w:color w:val="FF0000"/>
          <w:kern w:val="3"/>
          <w:lang w:eastAsia="zh-CN" w:bidi="hi-IN"/>
        </w:rPr>
        <w:t>rok</w:t>
      </w:r>
      <w:r w:rsidR="00586AE4">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Dodatkowo, szczegółowe dane dotyczące działalności LGD będą przekazywane mieszkańcom na </w:t>
      </w:r>
      <w:r w:rsidRPr="00586AE4">
        <w:rPr>
          <w:rFonts w:ascii="Times New Roman" w:eastAsia="SimSun" w:hAnsi="Times New Roman" w:cs="Mangal"/>
          <w:strike/>
          <w:color w:val="FF0000"/>
          <w:kern w:val="3"/>
          <w:lang w:eastAsia="zh-CN" w:bidi="hi-IN"/>
        </w:rPr>
        <w:t>corocznych</w:t>
      </w:r>
      <w:r w:rsidRPr="009E615C">
        <w:rPr>
          <w:rFonts w:ascii="Times New Roman" w:eastAsia="SimSun" w:hAnsi="Times New Roman" w:cs="Mangal"/>
          <w:kern w:val="3"/>
          <w:lang w:eastAsia="zh-CN" w:bidi="hi-IN"/>
        </w:rPr>
        <w:t xml:space="preserve">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działania</w:t>
      </w:r>
    </w:p>
    <w:p w:rsidR="009E615C" w:rsidRPr="00586AE4"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kern w:val="3"/>
          <w:lang w:eastAsia="zh-CN" w:bidi="hi-IN"/>
        </w:rPr>
        <w:t>Postępy w realizacji LSR</w:t>
      </w:r>
      <w:r w:rsidR="00586AE4">
        <w:rPr>
          <w:rFonts w:ascii="Times New Roman" w:eastAsia="SimSun" w:hAnsi="Times New Roman" w:cs="Mangal"/>
          <w:kern w:val="3"/>
          <w:lang w:eastAsia="zh-CN" w:bidi="hi-IN"/>
        </w:rPr>
        <w:t xml:space="preserve"> </w:t>
      </w:r>
      <w:r w:rsidR="00586AE4" w:rsidRPr="00586AE4">
        <w:rPr>
          <w:rFonts w:ascii="Times New Roman" w:eastAsia="SimSun" w:hAnsi="Times New Roman" w:cs="Mangal"/>
          <w:color w:val="FF0000"/>
          <w:kern w:val="3"/>
          <w:lang w:eastAsia="zh-CN" w:bidi="hi-IN"/>
        </w:rPr>
        <w:t>(monitoring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w:t>
      </w:r>
      <w:r w:rsidR="00586AE4" w:rsidRPr="00586AE4">
        <w:rPr>
          <w:rFonts w:ascii="Times New Roman" w:eastAsia="SimSun" w:hAnsi="Times New Roman" w:cs="Mangal"/>
          <w:color w:val="FF0000"/>
          <w:kern w:val="3"/>
          <w:lang w:eastAsia="zh-CN" w:bidi="hi-IN"/>
        </w:rPr>
        <w:t>również</w:t>
      </w:r>
      <w:r w:rsidR="00586AE4">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monitoring operacyjny, polegający na osobistych kontaktach między pracownikami LGD a osobami realizującymi granty. Pracownicy LGD będą stosować wystandaryzowany formularz kontaktu, w którym będą zapisywać uzyskane od grantobiorców informacje oraz odnotowywać przekazane im rekomendacje</w:t>
      </w:r>
      <w:r w:rsidRPr="00586AE4">
        <w:rPr>
          <w:rFonts w:ascii="Times New Roman" w:eastAsia="SimSun" w:hAnsi="Times New Roman" w:cs="Mangal"/>
          <w:strike/>
          <w:color w:val="FF0000"/>
          <w:kern w:val="3"/>
          <w:lang w:eastAsia="zh-CN" w:bidi="hi-IN"/>
        </w:rPr>
        <w:t xml:space="preserve">. Formularz będzie wypełniany raz w miesiącu dla każdego </w:t>
      </w:r>
      <w:proofErr w:type="spellStart"/>
      <w:r w:rsidRPr="00586AE4">
        <w:rPr>
          <w:rFonts w:ascii="Times New Roman" w:eastAsia="SimSun" w:hAnsi="Times New Roman" w:cs="Mangal"/>
          <w:strike/>
          <w:color w:val="FF0000"/>
          <w:kern w:val="3"/>
          <w:lang w:eastAsia="zh-CN" w:bidi="hi-IN"/>
        </w:rPr>
        <w:t>grantobiorcy</w:t>
      </w:r>
      <w:proofErr w:type="spellEnd"/>
      <w:r w:rsidRPr="00586AE4">
        <w:rPr>
          <w:rFonts w:ascii="Times New Roman" w:eastAsia="SimSun" w:hAnsi="Times New Roman" w:cs="Mangal"/>
          <w:strike/>
          <w:color w:val="FF0000"/>
          <w:kern w:val="3"/>
          <w:lang w:eastAsia="zh-CN" w:bidi="hi-IN"/>
        </w:rPr>
        <w:t xml:space="preserve"> w czasie realizacji danego przedsięwzięcia w ramach projektów grantowych.</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grantobiorców w miejscu realizacji przedsięwzięć </w:t>
      </w:r>
      <w:r w:rsidRPr="00586AE4">
        <w:rPr>
          <w:rFonts w:ascii="Times New Roman" w:eastAsia="SimSun" w:hAnsi="Times New Roman" w:cs="Mangal"/>
          <w:strike/>
          <w:color w:val="FF0000"/>
          <w:kern w:val="3"/>
          <w:lang w:eastAsia="zh-CN" w:bidi="hi-IN"/>
        </w:rPr>
        <w:t xml:space="preserve">co najmniej dwukrotnie </w:t>
      </w:r>
      <w:r w:rsidRPr="009E615C">
        <w:rPr>
          <w:rFonts w:ascii="Times New Roman" w:eastAsia="SimSun" w:hAnsi="Times New Roman" w:cs="Mangal"/>
          <w:kern w:val="3"/>
          <w:lang w:eastAsia="zh-CN" w:bidi="hi-IN"/>
        </w:rPr>
        <w:t xml:space="preserve">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zrealizowane </w:t>
      </w:r>
      <w:r w:rsidR="00586AE4">
        <w:rPr>
          <w:rFonts w:ascii="Times New Roman" w:eastAsia="SimSun" w:hAnsi="Times New Roman" w:cs="Mangal"/>
          <w:color w:val="FF0000"/>
          <w:kern w:val="3"/>
          <w:lang w:eastAsia="zh-CN" w:bidi="hi-IN"/>
        </w:rPr>
        <w:t>4</w:t>
      </w:r>
      <w:r w:rsidRPr="009E615C">
        <w:rPr>
          <w:rFonts w:ascii="Times New Roman" w:eastAsia="SimSun" w:hAnsi="Times New Roman" w:cs="Mangal"/>
          <w:kern w:val="3"/>
          <w:lang w:eastAsia="zh-CN" w:bidi="hi-IN"/>
        </w:rPr>
        <w:t xml:space="preserve"> razy w czasie wdrażania LSR 2014-2020. Zastosowane zostaną następujące kryteria ewaluacyjne:</w:t>
      </w:r>
    </w:p>
    <w:p w:rsidR="009E615C" w:rsidRPr="009E615C" w:rsidRDefault="009E615C" w:rsidP="00864F56">
      <w:pPr>
        <w:widowControl w:val="0"/>
        <w:numPr>
          <w:ilvl w:val="0"/>
          <w:numId w:val="21"/>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Trafność </w:t>
      </w:r>
      <w:r w:rsidRPr="00586AE4">
        <w:rPr>
          <w:rFonts w:ascii="Times New Roman" w:eastAsia="SimSun" w:hAnsi="Times New Roman" w:cs="Mangal"/>
          <w:strike/>
          <w:color w:val="FF0000"/>
          <w:kern w:val="3"/>
          <w:lang w:eastAsia="zh-CN" w:bidi="hi-IN"/>
        </w:rPr>
        <w:t>– związek pomiędzy przyjętymi rozwiązaniami (w zakresie celów, przedsięwzięć, sposobu funkcjonowania ŚRLGD) a realnymi potrzebami społeczności lokalnej</w:t>
      </w:r>
      <w:r w:rsidRPr="009E615C">
        <w:rPr>
          <w:rFonts w:ascii="Times New Roman" w:eastAsia="SimSun" w:hAnsi="Times New Roman" w:cs="Mangal"/>
          <w:kern w:val="3"/>
          <w:lang w:eastAsia="zh-CN" w:bidi="hi-IN"/>
        </w:rPr>
        <w:t>.</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Skuteczność </w:t>
      </w:r>
      <w:r w:rsidRPr="00586AE4">
        <w:rPr>
          <w:rFonts w:ascii="Times New Roman" w:eastAsia="SimSun" w:hAnsi="Times New Roman" w:cs="Mangal"/>
          <w:strike/>
          <w:color w:val="FF0000"/>
          <w:kern w:val="3"/>
          <w:lang w:eastAsia="zh-CN" w:bidi="hi-IN"/>
        </w:rPr>
        <w:t>– ocena stopnia, w jakim  osiągnięto zaplanowane cele i przedsięwzięcia.</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Efektywność </w:t>
      </w:r>
      <w:r w:rsidRPr="00586AE4">
        <w:rPr>
          <w:rFonts w:ascii="Times New Roman" w:eastAsia="SimSun" w:hAnsi="Times New Roman" w:cs="Mangal"/>
          <w:strike/>
          <w:color w:val="FF0000"/>
          <w:kern w:val="3"/>
          <w:lang w:eastAsia="zh-CN" w:bidi="hi-IN"/>
        </w:rPr>
        <w:t>– stosunek uzyskanych efektów do poniesionych nakładów finansowych.</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Spójność </w:t>
      </w:r>
      <w:r w:rsidRPr="00586AE4">
        <w:rPr>
          <w:rFonts w:ascii="Times New Roman" w:eastAsia="SimSun" w:hAnsi="Times New Roman" w:cs="Mangal"/>
          <w:strike/>
          <w:color w:val="FF0000"/>
          <w:kern w:val="3"/>
          <w:lang w:eastAsia="zh-CN" w:bidi="hi-IN"/>
        </w:rPr>
        <w:t>– stopień kompleksowości (wszechstronności) przedsięwzięć realizowanych w ramach wdrażania LSR.</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r w:rsidRPr="00586AE4">
        <w:rPr>
          <w:rFonts w:ascii="Times New Roman" w:eastAsia="SimSun" w:hAnsi="Times New Roman" w:cs="Mangal"/>
          <w:strike/>
          <w:color w:val="FF0000"/>
          <w:kern w:val="3"/>
          <w:lang w:eastAsia="zh-CN" w:bidi="hi-IN"/>
        </w:rPr>
        <w:t>– planowane i nieplanowane efekty realizacji LSR, stopień zaspokojenia potrzeb beneficjentów.</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r w:rsidRPr="00586AE4">
        <w:rPr>
          <w:rFonts w:ascii="Times New Roman" w:eastAsia="SimSun" w:hAnsi="Times New Roman" w:cs="Mangal"/>
          <w:strike/>
          <w:color w:val="FF0000"/>
          <w:kern w:val="3"/>
          <w:lang w:eastAsia="zh-CN" w:bidi="hi-IN"/>
        </w:rPr>
        <w:t>- ocena możliwości i stopnia utrzymania się efektów i wpływu działań po zakończeniu ich realizacji.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badaniach ewaluacyjnych (</w:t>
      </w:r>
      <w:r w:rsidR="00DC5F1A" w:rsidRPr="00DC5F1A">
        <w:rPr>
          <w:rFonts w:ascii="Times New Roman" w:eastAsia="SimSun" w:hAnsi="Times New Roman" w:cs="Mangal"/>
          <w:color w:val="FF0000"/>
          <w:kern w:val="3"/>
          <w:lang w:eastAsia="zh-CN" w:bidi="hi-IN"/>
        </w:rPr>
        <w:t>on-</w:t>
      </w:r>
      <w:proofErr w:type="spellStart"/>
      <w:r w:rsidR="00DC5F1A" w:rsidRPr="00DC5F1A">
        <w:rPr>
          <w:rFonts w:ascii="Times New Roman" w:eastAsia="SimSun" w:hAnsi="Times New Roman" w:cs="Mangal"/>
          <w:color w:val="FF0000"/>
          <w:kern w:val="3"/>
          <w:lang w:eastAsia="zh-CN" w:bidi="hi-IN"/>
        </w:rPr>
        <w:t>going</w:t>
      </w:r>
      <w:proofErr w:type="spellEnd"/>
      <w:r w:rsidR="00DC5F1A">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Przeprowadzenie ewaluacji </w:t>
      </w:r>
      <w:r w:rsidR="00DC5F1A" w:rsidRPr="00DC5F1A">
        <w:rPr>
          <w:rFonts w:ascii="Times New Roman" w:eastAsia="SimSun" w:hAnsi="Times New Roman" w:cs="Mangal"/>
          <w:color w:val="FF0000"/>
          <w:kern w:val="3"/>
          <w:lang w:eastAsia="zh-CN" w:bidi="hi-IN"/>
        </w:rPr>
        <w:t>on-</w:t>
      </w:r>
      <w:proofErr w:type="spellStart"/>
      <w:r w:rsidR="00DC5F1A" w:rsidRPr="00DC5F1A">
        <w:rPr>
          <w:rFonts w:ascii="Times New Roman" w:eastAsia="SimSun" w:hAnsi="Times New Roman" w:cs="Mangal"/>
          <w:color w:val="FF0000"/>
          <w:kern w:val="3"/>
          <w:lang w:eastAsia="zh-CN" w:bidi="hi-IN"/>
        </w:rPr>
        <w:t>going</w:t>
      </w:r>
      <w:proofErr w:type="spellEnd"/>
      <w:r w:rsidR="00DC5F1A" w:rsidRPr="009E615C">
        <w:rPr>
          <w:rFonts w:ascii="Times New Roman" w:eastAsia="SimSun" w:hAnsi="Times New Roman" w:cs="Mangal"/>
          <w:kern w:val="3"/>
          <w:lang w:eastAsia="zh-CN" w:bidi="hi-IN"/>
        </w:rPr>
        <w:t xml:space="preserve"> </w:t>
      </w:r>
      <w:r w:rsidR="00DC5F1A">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w równym stopniu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Pr="00DC5F1A">
        <w:rPr>
          <w:rFonts w:ascii="Times New Roman" w:eastAsia="SimSun" w:hAnsi="Times New Roman" w:cs="Mangal"/>
          <w:strike/>
          <w:color w:val="FF0000"/>
          <w:kern w:val="3"/>
          <w:lang w:eastAsia="zh-CN" w:bidi="hi-IN"/>
        </w:rPr>
        <w:t>oraz doświadczenie oferenta</w:t>
      </w:r>
      <w:r w:rsidRPr="009E615C">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W latach, gdy prowadzona będzie ewaluacja</w:t>
      </w:r>
      <w:r w:rsidR="00DC5F1A" w:rsidRPr="00DC5F1A">
        <w:rPr>
          <w:rFonts w:ascii="Times New Roman" w:eastAsia="SimSun" w:hAnsi="Times New Roman" w:cs="Mangal"/>
          <w:color w:val="FF0000"/>
          <w:kern w:val="3"/>
          <w:lang w:eastAsia="zh-CN" w:bidi="hi-IN"/>
        </w:rPr>
        <w:t xml:space="preserve"> on-</w:t>
      </w:r>
      <w:proofErr w:type="spellStart"/>
      <w:r w:rsidR="00DC5F1A" w:rsidRPr="00DC5F1A">
        <w:rPr>
          <w:rFonts w:ascii="Times New Roman" w:eastAsia="SimSun" w:hAnsi="Times New Roman" w:cs="Mangal"/>
          <w:color w:val="FF0000"/>
          <w:kern w:val="3"/>
          <w:lang w:eastAsia="zh-CN" w:bidi="hi-IN"/>
        </w:rPr>
        <w:t>going</w:t>
      </w:r>
      <w:proofErr w:type="spellEnd"/>
      <w:r w:rsidR="00DC5F1A">
        <w:rPr>
          <w:rFonts w:ascii="Times New Roman" w:eastAsia="SimSun" w:hAnsi="Times New Roman" w:cs="Mangal"/>
          <w:color w:val="FF0000"/>
          <w:kern w:val="3"/>
          <w:lang w:eastAsia="zh-CN" w:bidi="hi-IN"/>
        </w:rPr>
        <w:t xml:space="preserve">, </w:t>
      </w:r>
      <w:r w:rsidRPr="009E615C">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realizującego ewaluację. </w:t>
      </w:r>
      <w:r w:rsidRPr="00DC5F1A">
        <w:rPr>
          <w:rFonts w:ascii="Times New Roman" w:eastAsia="SimSun" w:hAnsi="Times New Roman" w:cs="Mangal"/>
          <w:strike/>
          <w:color w:val="FF0000"/>
          <w:kern w:val="3"/>
          <w:lang w:eastAsia="zh-CN" w:bidi="hi-IN"/>
        </w:rPr>
        <w:t>Badania ewaluacyjne będą dodatkowo rozbudowane o wywiady eksperckie (pracownicy biura LGD, przedstawiciele organów LGD, przedstawiciele społeczności lokalnej z 3 sektorów) oraz ankietę internetową wśród wnioskodawców (osób i przedstawicieli podmiotów, które ubiegały się o wsparcie w  ramach realizacji LSR).</w:t>
      </w:r>
      <w:r w:rsidRPr="009E615C">
        <w:rPr>
          <w:rFonts w:ascii="Times New Roman" w:eastAsia="SimSun" w:hAnsi="Times New Roman" w:cs="Mangal"/>
          <w:kern w:val="3"/>
          <w:lang w:eastAsia="zh-CN" w:bidi="hi-IN"/>
        </w:rPr>
        <w:t xml:space="preserve"> Wykonawca badań ewaluacyjnych przygotuje raport, który będzie obowiązkowo </w:t>
      </w:r>
      <w:r w:rsidRPr="009E615C">
        <w:rPr>
          <w:rFonts w:ascii="Times New Roman" w:eastAsia="SimSun" w:hAnsi="Times New Roman" w:cs="Mangal"/>
          <w:kern w:val="3"/>
          <w:lang w:eastAsia="zh-CN" w:bidi="hi-IN"/>
        </w:rPr>
        <w:lastRenderedPageBreak/>
        <w:t>zawierać dane z monitoringu z ostatniego roku umieszczone w kontekście danych zebranych w poprzednich latach. W latach pr</w:t>
      </w:r>
      <w:r w:rsidR="00DC5F1A">
        <w:rPr>
          <w:rFonts w:ascii="Times New Roman" w:eastAsia="SimSun" w:hAnsi="Times New Roman" w:cs="Mangal"/>
          <w:kern w:val="3"/>
          <w:lang w:eastAsia="zh-CN" w:bidi="hi-IN"/>
        </w:rPr>
        <w:t>owadzenia badań ewaluacyjnych</w:t>
      </w:r>
      <w:r w:rsidR="00DC5F1A" w:rsidRPr="00DC5F1A">
        <w:rPr>
          <w:rFonts w:ascii="Times New Roman" w:eastAsia="SimSun" w:hAnsi="Times New Roman" w:cs="Mangal"/>
          <w:color w:val="FF0000"/>
          <w:kern w:val="3"/>
          <w:lang w:eastAsia="zh-CN" w:bidi="hi-IN"/>
        </w:rPr>
        <w:t xml:space="preserve"> on-</w:t>
      </w:r>
      <w:proofErr w:type="spellStart"/>
      <w:r w:rsidR="00DC5F1A" w:rsidRPr="00DC5F1A">
        <w:rPr>
          <w:rFonts w:ascii="Times New Roman" w:eastAsia="SimSun" w:hAnsi="Times New Roman" w:cs="Mangal"/>
          <w:color w:val="FF0000"/>
          <w:kern w:val="3"/>
          <w:lang w:eastAsia="zh-CN" w:bidi="hi-IN"/>
        </w:rPr>
        <w:t>going</w:t>
      </w:r>
      <w:proofErr w:type="spellEnd"/>
      <w:r w:rsidR="00DC5F1A">
        <w:rPr>
          <w:rFonts w:ascii="Times New Roman" w:eastAsia="SimSun" w:hAnsi="Times New Roman" w:cs="Mangal"/>
          <w:color w:val="FF0000"/>
          <w:kern w:val="3"/>
          <w:lang w:eastAsia="zh-CN" w:bidi="hi-IN"/>
        </w:rPr>
        <w:t xml:space="preserve">, </w:t>
      </w:r>
      <w:r w:rsidR="00DC5F1A">
        <w:rPr>
          <w:rFonts w:ascii="Times New Roman" w:eastAsia="SimSun" w:hAnsi="Times New Roman" w:cs="Mangal"/>
          <w:kern w:val="3"/>
          <w:lang w:eastAsia="zh-CN" w:bidi="hi-IN"/>
        </w:rPr>
        <w:t xml:space="preserve"> </w:t>
      </w:r>
      <w:proofErr w:type="spellStart"/>
      <w:r w:rsidR="00DC5F1A">
        <w:rPr>
          <w:rFonts w:ascii="Times New Roman" w:eastAsia="SimSun" w:hAnsi="Times New Roman" w:cs="Mangal"/>
          <w:kern w:val="3"/>
          <w:lang w:eastAsia="zh-CN" w:bidi="hi-IN"/>
        </w:rPr>
        <w:t>mi</w:t>
      </w:r>
      <w:r w:rsidRPr="009E615C">
        <w:rPr>
          <w:rFonts w:ascii="Times New Roman" w:eastAsia="SimSun" w:hAnsi="Times New Roman" w:cs="Mangal"/>
          <w:kern w:val="3"/>
          <w:lang w:eastAsia="zh-CN" w:bidi="hi-IN"/>
        </w:rPr>
        <w:t>d</w:t>
      </w:r>
      <w:proofErr w:type="spellEnd"/>
      <w:r w:rsidRPr="009E615C">
        <w:rPr>
          <w:rFonts w:ascii="Times New Roman" w:eastAsia="SimSun" w:hAnsi="Times New Roman" w:cs="Mangal"/>
          <w:kern w:val="3"/>
          <w:lang w:eastAsia="zh-CN" w:bidi="hi-IN"/>
        </w:rPr>
        <w:t xml:space="preserve">-term i ex-post, </w:t>
      </w:r>
      <w:r w:rsidR="009D5A7E" w:rsidRPr="009D5A7E">
        <w:rPr>
          <w:rFonts w:ascii="Times New Roman" w:eastAsia="SimSun" w:hAnsi="Times New Roman" w:cs="Mangal"/>
          <w:color w:val="FF0000"/>
          <w:kern w:val="3"/>
          <w:lang w:eastAsia="zh-CN" w:bidi="hi-IN"/>
        </w:rPr>
        <w:t xml:space="preserve">wyniki ze </w:t>
      </w:r>
      <w:proofErr w:type="spellStart"/>
      <w:r w:rsidRPr="009E615C">
        <w:rPr>
          <w:rFonts w:ascii="Times New Roman" w:eastAsia="SimSun" w:hAnsi="Times New Roman" w:cs="Mangal"/>
          <w:kern w:val="3"/>
          <w:lang w:eastAsia="zh-CN" w:bidi="hi-IN"/>
        </w:rPr>
        <w:t>spotka</w:t>
      </w:r>
      <w:r w:rsidR="009D5A7E" w:rsidRPr="009D5A7E">
        <w:rPr>
          <w:rFonts w:ascii="Times New Roman" w:eastAsia="SimSun" w:hAnsi="Times New Roman" w:cs="Mangal"/>
          <w:color w:val="FF0000"/>
          <w:kern w:val="3"/>
          <w:lang w:eastAsia="zh-CN" w:bidi="hi-IN"/>
        </w:rPr>
        <w:t>ń</w:t>
      </w:r>
      <w:r w:rsidRPr="009D5A7E">
        <w:rPr>
          <w:rFonts w:ascii="Times New Roman" w:eastAsia="SimSun" w:hAnsi="Times New Roman" w:cs="Mangal"/>
          <w:strike/>
          <w:color w:val="FF0000"/>
          <w:kern w:val="3"/>
          <w:lang w:eastAsia="zh-CN" w:bidi="hi-IN"/>
        </w:rPr>
        <w:t>nia</w:t>
      </w:r>
      <w:proofErr w:type="spellEnd"/>
      <w:r w:rsidRPr="009E615C">
        <w:rPr>
          <w:rFonts w:ascii="Times New Roman" w:eastAsia="SimSun" w:hAnsi="Times New Roman" w:cs="Mangal"/>
          <w:kern w:val="3"/>
          <w:lang w:eastAsia="zh-CN" w:bidi="hi-IN"/>
        </w:rPr>
        <w:t xml:space="preserve"> informacyjno-</w:t>
      </w:r>
      <w:proofErr w:type="spellStart"/>
      <w:r w:rsidRPr="009E615C">
        <w:rPr>
          <w:rFonts w:ascii="Times New Roman" w:eastAsia="SimSun" w:hAnsi="Times New Roman" w:cs="Mangal"/>
          <w:kern w:val="3"/>
          <w:lang w:eastAsia="zh-CN" w:bidi="hi-IN"/>
        </w:rPr>
        <w:t>konsultacyjn</w:t>
      </w:r>
      <w:r w:rsidR="009D5A7E" w:rsidRPr="009D5A7E">
        <w:rPr>
          <w:rFonts w:ascii="Times New Roman" w:eastAsia="SimSun" w:hAnsi="Times New Roman" w:cs="Mangal"/>
          <w:color w:val="FF0000"/>
          <w:kern w:val="3"/>
          <w:lang w:eastAsia="zh-CN" w:bidi="hi-IN"/>
        </w:rPr>
        <w:t>ych</w:t>
      </w:r>
      <w:r w:rsidRPr="009D5A7E">
        <w:rPr>
          <w:rFonts w:ascii="Times New Roman" w:eastAsia="SimSun" w:hAnsi="Times New Roman" w:cs="Mangal"/>
          <w:strike/>
          <w:color w:val="FF0000"/>
          <w:kern w:val="3"/>
          <w:lang w:eastAsia="zh-CN" w:bidi="hi-IN"/>
        </w:rPr>
        <w:t>e</w:t>
      </w:r>
      <w:proofErr w:type="spellEnd"/>
      <w:r w:rsidRPr="009D5A7E">
        <w:rPr>
          <w:rFonts w:ascii="Times New Roman" w:eastAsia="SimSun" w:hAnsi="Times New Roman" w:cs="Mangal"/>
          <w:color w:val="FF0000"/>
          <w:kern w:val="3"/>
          <w:lang w:eastAsia="zh-CN" w:bidi="hi-IN"/>
        </w:rPr>
        <w:t xml:space="preserve"> </w:t>
      </w:r>
      <w:r w:rsidRPr="009E615C">
        <w:rPr>
          <w:rFonts w:ascii="Times New Roman" w:eastAsia="SimSun" w:hAnsi="Times New Roman" w:cs="Mangal"/>
          <w:kern w:val="3"/>
          <w:lang w:eastAsia="zh-CN" w:bidi="hi-IN"/>
        </w:rPr>
        <w:t xml:space="preserve">w ramach monitoringu, </w:t>
      </w:r>
      <w:r w:rsidRPr="009D5A7E">
        <w:rPr>
          <w:rFonts w:ascii="Times New Roman" w:eastAsia="SimSun" w:hAnsi="Times New Roman" w:cs="Mangal"/>
          <w:strike/>
          <w:color w:val="FF0000"/>
          <w:kern w:val="3"/>
          <w:lang w:eastAsia="zh-CN" w:bidi="hi-IN"/>
        </w:rPr>
        <w:t>których wyniki</w:t>
      </w:r>
      <w:r w:rsidRPr="009E615C">
        <w:rPr>
          <w:rFonts w:ascii="Times New Roman" w:eastAsia="SimSun" w:hAnsi="Times New Roman" w:cs="Mangal"/>
          <w:kern w:val="3"/>
          <w:lang w:eastAsia="zh-CN" w:bidi="hi-IN"/>
        </w:rPr>
        <w:t xml:space="preserve"> zostaną wykorzystane do przygotowania raportu</w:t>
      </w:r>
      <w:r w:rsidR="009D5A7E">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Pr="009D5A7E">
        <w:rPr>
          <w:rFonts w:ascii="Times New Roman" w:eastAsia="SimSun" w:hAnsi="Times New Roman" w:cs="Mangal"/>
          <w:strike/>
          <w:color w:val="FF0000"/>
          <w:kern w:val="3"/>
          <w:lang w:eastAsia="zh-CN" w:bidi="hi-IN"/>
        </w:rPr>
        <w:t>przeprowadzone zostaną przez pracowników LGD pod kierunkiem wykonawcy badań ewaluacyjnych.</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Pr>
          <w:rFonts w:ascii="Times New Roman" w:eastAsia="SimSun" w:hAnsi="Times New Roman" w:cs="Mangal"/>
          <w:kern w:val="3"/>
          <w:lang w:eastAsia="zh-CN" w:bidi="hi-IN"/>
        </w:rPr>
        <w:t xml:space="preserve">, </w:t>
      </w:r>
      <w:r w:rsidR="009D5A7E" w:rsidRPr="009D5A7E">
        <w:rPr>
          <w:rFonts w:ascii="Times New Roman" w:eastAsia="SimSun" w:hAnsi="Times New Roman" w:cs="Mangal"/>
          <w:color w:val="FF0000"/>
          <w:kern w:val="3"/>
          <w:lang w:eastAsia="zh-CN" w:bidi="hi-IN"/>
        </w:rPr>
        <w:t>ewaluacja ex-post</w:t>
      </w:r>
      <w:r w:rsidRPr="009D5A7E">
        <w:rPr>
          <w:rFonts w:ascii="Times New Roman" w:eastAsia="SimSun" w:hAnsi="Times New Roman" w:cs="Mangal"/>
          <w:color w:val="FF0000"/>
          <w:kern w:val="3"/>
          <w:lang w:eastAsia="zh-CN" w:bidi="hi-IN"/>
        </w:rPr>
        <w:t xml:space="preserve"> </w:t>
      </w:r>
      <w:r w:rsidRPr="009E615C">
        <w:rPr>
          <w:rFonts w:ascii="Times New Roman" w:eastAsia="SimSun" w:hAnsi="Times New Roman" w:cs="Mangal"/>
          <w:kern w:val="3"/>
          <w:lang w:eastAsia="zh-CN" w:bidi="hi-IN"/>
        </w:rPr>
        <w:t xml:space="preserve">obejmować </w:t>
      </w:r>
      <w:r w:rsidRPr="009D5A7E">
        <w:rPr>
          <w:rFonts w:ascii="Times New Roman" w:eastAsia="SimSun" w:hAnsi="Times New Roman" w:cs="Mangal"/>
          <w:strike/>
          <w:color w:val="FF0000"/>
          <w:kern w:val="3"/>
          <w:lang w:eastAsia="zh-CN" w:bidi="hi-IN"/>
        </w:rPr>
        <w:t>ona</w:t>
      </w:r>
      <w:r w:rsidRPr="009E615C">
        <w:rPr>
          <w:rFonts w:ascii="Times New Roman" w:eastAsia="SimSun" w:hAnsi="Times New Roman" w:cs="Mangal"/>
          <w:kern w:val="3"/>
          <w:lang w:eastAsia="zh-CN" w:bidi="hi-IN"/>
        </w:rPr>
        <w:t xml:space="preserve"> będzie raporty z ewaluacji</w:t>
      </w:r>
      <w:r w:rsidR="009D5A7E" w:rsidRPr="009D5A7E">
        <w:rPr>
          <w:rFonts w:ascii="Times New Roman" w:eastAsia="SimSun" w:hAnsi="Times New Roman" w:cs="Mangal"/>
          <w:color w:val="FF0000"/>
          <w:kern w:val="3"/>
          <w:lang w:eastAsia="zh-CN" w:bidi="hi-IN"/>
        </w:rPr>
        <w:t xml:space="preserve"> </w:t>
      </w:r>
      <w:r w:rsidR="009D5A7E" w:rsidRPr="00DC5F1A">
        <w:rPr>
          <w:rFonts w:ascii="Times New Roman" w:eastAsia="SimSun" w:hAnsi="Times New Roman" w:cs="Mangal"/>
          <w:color w:val="FF0000"/>
          <w:kern w:val="3"/>
          <w:lang w:eastAsia="zh-CN" w:bidi="hi-IN"/>
        </w:rPr>
        <w:t>on-</w:t>
      </w:r>
      <w:proofErr w:type="spellStart"/>
      <w:r w:rsidR="009D5A7E" w:rsidRPr="00DC5F1A">
        <w:rPr>
          <w:rFonts w:ascii="Times New Roman" w:eastAsia="SimSun" w:hAnsi="Times New Roman" w:cs="Mangal"/>
          <w:color w:val="FF0000"/>
          <w:kern w:val="3"/>
          <w:lang w:eastAsia="zh-CN" w:bidi="hi-IN"/>
        </w:rPr>
        <w:t>going</w:t>
      </w:r>
      <w:proofErr w:type="spellEnd"/>
      <w:r w:rsidR="009D5A7E">
        <w:rPr>
          <w:rFonts w:ascii="Times New Roman" w:eastAsia="SimSun" w:hAnsi="Times New Roman" w:cs="Mangal"/>
          <w:color w:val="FF0000"/>
          <w:kern w:val="3"/>
          <w:lang w:eastAsia="zh-CN" w:bidi="hi-IN"/>
        </w:rPr>
        <w:t>,</w:t>
      </w:r>
      <w:r w:rsidRPr="009E615C">
        <w:rPr>
          <w:rFonts w:ascii="Times New Roman" w:eastAsia="SimSun" w:hAnsi="Times New Roman" w:cs="Mangal"/>
          <w:kern w:val="3"/>
          <w:lang w:eastAsia="zh-CN" w:bidi="hi-IN"/>
        </w:rPr>
        <w:t xml:space="preserve"> </w:t>
      </w:r>
      <w:proofErr w:type="spellStart"/>
      <w:r w:rsidR="009D5A7E" w:rsidRPr="009E615C">
        <w:rPr>
          <w:rFonts w:ascii="Times New Roman" w:eastAsia="SimSun" w:hAnsi="Times New Roman" w:cs="Mangal"/>
          <w:kern w:val="3"/>
          <w:lang w:eastAsia="zh-CN" w:bidi="hi-IN"/>
        </w:rPr>
        <w:t>mid</w:t>
      </w:r>
      <w:proofErr w:type="spellEnd"/>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r w:rsidRPr="009D5A7E">
        <w:rPr>
          <w:rFonts w:ascii="Times New Roman" w:eastAsia="SimSun" w:hAnsi="Times New Roman" w:cs="Mangal"/>
          <w:strike/>
          <w:color w:val="FF0000"/>
          <w:kern w:val="3"/>
          <w:lang w:eastAsia="zh-CN" w:bidi="hi-IN"/>
        </w:rPr>
        <w:t xml:space="preserve">oraz </w:t>
      </w:r>
      <w:r w:rsidR="009D5A7E" w:rsidRPr="009D5A7E">
        <w:rPr>
          <w:rFonts w:ascii="Times New Roman" w:eastAsia="SimSun" w:hAnsi="Times New Roman" w:cs="Mangal"/>
          <w:strike/>
          <w:color w:val="FF0000"/>
          <w:kern w:val="3"/>
          <w:lang w:eastAsia="zh-CN" w:bidi="hi-IN"/>
        </w:rPr>
        <w:t>ex-post</w:t>
      </w:r>
      <w:r w:rsidR="009D5A7E" w:rsidRPr="009D5A7E">
        <w:rPr>
          <w:rFonts w:ascii="Times New Roman" w:eastAsia="SimSun" w:hAnsi="Times New Roman" w:cs="Mangal"/>
          <w:color w:val="FF0000"/>
          <w:kern w:val="3"/>
          <w:lang w:eastAsia="zh-CN" w:bidi="hi-IN"/>
        </w:rPr>
        <w:t xml:space="preserve"> </w:t>
      </w:r>
      <w:r w:rsidRPr="009D5A7E">
        <w:rPr>
          <w:rFonts w:ascii="Times New Roman" w:eastAsia="SimSun" w:hAnsi="Times New Roman" w:cs="Mangal"/>
          <w:strike/>
          <w:color w:val="FF0000"/>
          <w:kern w:val="3"/>
          <w:lang w:eastAsia="zh-CN" w:bidi="hi-IN"/>
        </w:rPr>
        <w:t>(</w:t>
      </w:r>
      <w:r w:rsidR="009D5A7E">
        <w:rPr>
          <w:rFonts w:ascii="Times New Roman" w:eastAsia="SimSun" w:hAnsi="Times New Roman" w:cs="Mangal"/>
          <w:strike/>
          <w:color w:val="FF0000"/>
          <w:kern w:val="3"/>
          <w:lang w:eastAsia="zh-CN" w:bidi="hi-IN"/>
        </w:rPr>
        <w:t>w  przypadku ewaluacji ex-post)</w:t>
      </w:r>
      <w:r w:rsidR="009D5A7E">
        <w:rPr>
          <w:rFonts w:ascii="Times New Roman" w:eastAsia="SimSun" w:hAnsi="Times New Roman" w:cs="Mangal"/>
          <w:color w:val="FF0000"/>
          <w:kern w:val="3"/>
          <w:lang w:eastAsia="zh-CN" w:bidi="hi-IN"/>
        </w:rPr>
        <w:t>,</w:t>
      </w:r>
      <w:r w:rsidRPr="009D5A7E">
        <w:rPr>
          <w:rFonts w:ascii="Times New Roman" w:eastAsia="SimSun" w:hAnsi="Times New Roman" w:cs="Mangal"/>
          <w:color w:val="FF0000"/>
          <w:kern w:val="3"/>
          <w:lang w:eastAsia="zh-CN" w:bidi="hi-IN"/>
        </w:rPr>
        <w:t xml:space="preserve"> </w:t>
      </w:r>
      <w:r w:rsidRPr="009D5A7E">
        <w:rPr>
          <w:rFonts w:ascii="Times New Roman" w:eastAsia="SimSun" w:hAnsi="Times New Roman" w:cs="Mangal"/>
          <w:strike/>
          <w:color w:val="FF0000"/>
          <w:kern w:val="3"/>
          <w:lang w:eastAsia="zh-CN" w:bidi="hi-IN"/>
        </w:rPr>
        <w:t>raporty z badań dotyczących funkcjonowania LGD w Polsce i regionie, materiały wytworzone przez Ministerstwo Rolnictwa i Urząd Marszałkowski w Kielcach i inne ważne publikacje mogące mieć znaczenie dla rzetelnej i trafnej oceny funkcjonowania LGD i realizacji LSR.</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Badani</w:t>
      </w:r>
      <w:r w:rsidRPr="009D5A7E">
        <w:rPr>
          <w:rFonts w:ascii="Times New Roman" w:eastAsia="SimSun" w:hAnsi="Times New Roman" w:cs="Mangal"/>
          <w:color w:val="FF0000"/>
          <w:kern w:val="3"/>
          <w:lang w:eastAsia="zh-CN" w:bidi="hi-IN"/>
        </w:rPr>
        <w:t>a</w:t>
      </w:r>
      <w:r w:rsidR="009E615C" w:rsidRPr="009D5A7E">
        <w:rPr>
          <w:rFonts w:ascii="Times New Roman" w:eastAsia="SimSun" w:hAnsi="Times New Roman" w:cs="Mangal"/>
          <w:color w:val="FF0000"/>
          <w:kern w:val="3"/>
          <w:lang w:eastAsia="zh-CN" w:bidi="hi-IN"/>
        </w:rPr>
        <w:t xml:space="preserve"> </w:t>
      </w:r>
      <w:r w:rsidR="009E615C" w:rsidRPr="009E615C">
        <w:rPr>
          <w:rFonts w:ascii="Times New Roman" w:eastAsia="SimSun" w:hAnsi="Times New Roman" w:cs="Mangal"/>
          <w:kern w:val="3"/>
          <w:lang w:eastAsia="zh-CN" w:bidi="hi-IN"/>
        </w:rPr>
        <w:t>ewaluacyjne ex-</w:t>
      </w:r>
      <w:proofErr w:type="spellStart"/>
      <w:r w:rsidR="009E615C" w:rsidRPr="009E615C">
        <w:rPr>
          <w:rFonts w:ascii="Times New Roman" w:eastAsia="SimSun" w:hAnsi="Times New Roman" w:cs="Mangal"/>
          <w:kern w:val="3"/>
          <w:lang w:eastAsia="zh-CN" w:bidi="hi-IN"/>
        </w:rPr>
        <w:t>ante</w:t>
      </w:r>
      <w:proofErr w:type="spellEnd"/>
      <w:r w:rsidR="009E615C" w:rsidRPr="009E615C">
        <w:rPr>
          <w:rFonts w:ascii="Times New Roman" w:eastAsia="SimSun" w:hAnsi="Times New Roman" w:cs="Mangal"/>
          <w:kern w:val="3"/>
          <w:lang w:eastAsia="zh-CN" w:bidi="hi-IN"/>
        </w:rPr>
        <w:t xml:space="preserve"> zostaną przeprowadzone samodzielnie przez LGD, a za ich bezpośrednią realizację będzie odpowiedzialny wyznaczony </w:t>
      </w:r>
      <w:r w:rsidR="009E615C" w:rsidRPr="009D5A7E">
        <w:rPr>
          <w:rFonts w:ascii="Times New Roman" w:eastAsia="SimSun" w:hAnsi="Times New Roman" w:cs="Mangal"/>
          <w:strike/>
          <w:color w:val="FF0000"/>
          <w:kern w:val="3"/>
          <w:lang w:eastAsia="zh-CN" w:bidi="hi-IN"/>
        </w:rPr>
        <w:t>przez Zarząd</w:t>
      </w:r>
      <w:r w:rsidR="009E615C" w:rsidRPr="009D5A7E">
        <w:rPr>
          <w:rFonts w:ascii="Times New Roman" w:eastAsia="SimSun" w:hAnsi="Times New Roman" w:cs="Mangal"/>
          <w:color w:val="FF0000"/>
          <w:kern w:val="3"/>
          <w:lang w:eastAsia="zh-CN" w:bidi="hi-IN"/>
        </w:rPr>
        <w:t xml:space="preserve"> </w:t>
      </w:r>
      <w:r w:rsidR="009E615C" w:rsidRPr="009E615C">
        <w:rPr>
          <w:rFonts w:ascii="Times New Roman" w:eastAsia="SimSun" w:hAnsi="Times New Roman" w:cs="Mangal"/>
          <w:kern w:val="3"/>
          <w:lang w:eastAsia="zh-CN" w:bidi="hi-IN"/>
        </w:rPr>
        <w:t>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2016 roku przez wyznaczonego pracownika LGD. Badania ewaluacyjne</w:t>
      </w:r>
      <w:r w:rsidR="009D5A7E">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 xml:space="preserve">-term i ex-post zostaną zrealizowane odpowiednio w </w:t>
      </w:r>
      <w:r w:rsidRPr="00565AE8">
        <w:rPr>
          <w:rFonts w:ascii="Times New Roman" w:eastAsia="SimSun" w:hAnsi="Times New Roman" w:cs="Mangal"/>
          <w:strike/>
          <w:color w:val="FF0000"/>
          <w:kern w:val="3"/>
          <w:lang w:eastAsia="zh-CN" w:bidi="hi-IN"/>
        </w:rPr>
        <w:t>listopadzie-grudniu</w:t>
      </w:r>
      <w:r w:rsidRPr="00565AE8">
        <w:rPr>
          <w:rFonts w:ascii="Times New Roman" w:eastAsia="SimSun" w:hAnsi="Times New Roman" w:cs="Mangal"/>
          <w:color w:val="FF0000"/>
          <w:kern w:val="3"/>
          <w:lang w:eastAsia="zh-CN" w:bidi="hi-IN"/>
        </w:rPr>
        <w:t xml:space="preserve"> </w:t>
      </w:r>
      <w:r w:rsidRPr="009E615C">
        <w:rPr>
          <w:rFonts w:ascii="Times New Roman" w:eastAsia="SimSun" w:hAnsi="Times New Roman" w:cs="Mangal"/>
          <w:kern w:val="3"/>
          <w:lang w:eastAsia="zh-CN" w:bidi="hi-IN"/>
        </w:rPr>
        <w:t xml:space="preserve">2018 roku i   </w:t>
      </w:r>
      <w:r w:rsidRPr="00565AE8">
        <w:rPr>
          <w:rFonts w:ascii="Times New Roman" w:eastAsia="SimSun" w:hAnsi="Times New Roman" w:cs="Mangal"/>
          <w:strike/>
          <w:color w:val="FF0000"/>
          <w:kern w:val="3"/>
          <w:lang w:eastAsia="zh-CN" w:bidi="hi-IN"/>
        </w:rPr>
        <w:t>w  listopadzie-grudniu 2022</w:t>
      </w:r>
      <w:r w:rsidR="00565AE8">
        <w:rPr>
          <w:rFonts w:ascii="Times New Roman" w:eastAsia="SimSun" w:hAnsi="Times New Roman" w:cs="Mangal"/>
          <w:kern w:val="3"/>
          <w:lang w:eastAsia="zh-CN" w:bidi="hi-IN"/>
        </w:rPr>
        <w:t xml:space="preserve"> </w:t>
      </w:r>
      <w:r w:rsidR="00565AE8" w:rsidRPr="00565AE8">
        <w:rPr>
          <w:rFonts w:ascii="Times New Roman" w:eastAsia="SimSun" w:hAnsi="Times New Roman" w:cs="Mangal"/>
          <w:color w:val="FF0000"/>
          <w:kern w:val="3"/>
          <w:lang w:eastAsia="zh-CN" w:bidi="hi-IN"/>
        </w:rPr>
        <w:t>w 2021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w:t>
      </w:r>
      <w:r w:rsidRPr="009E615C">
        <w:rPr>
          <w:rFonts w:ascii="Times New Roman" w:eastAsia="SimSun" w:hAnsi="Times New Roman" w:cs="F"/>
          <w:kern w:val="3"/>
          <w:lang w:eastAsia="zh-CN" w:bidi="hi-IN"/>
        </w:rPr>
        <w:lastRenderedPageBreak/>
        <w:t xml:space="preserve">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1E7922" w:rsidRDefault="003042E0" w:rsidP="001E7922">
      <w:pPr>
        <w:pStyle w:val="Nagwek1"/>
        <w:rPr>
          <w:rFonts w:ascii="Times New Roman" w:eastAsia="SimSun" w:hAnsi="Times New Roman"/>
          <w:color w:val="002060"/>
          <w:sz w:val="24"/>
          <w:szCs w:val="24"/>
          <w:lang w:bidi="hi-IN"/>
        </w:rPr>
      </w:pPr>
      <w:bookmarkStart w:id="53" w:name="_Toc452645496"/>
      <w:r w:rsidRPr="001E7922">
        <w:rPr>
          <w:rFonts w:ascii="Times New Roman" w:eastAsia="SimSun" w:hAnsi="Times New Roman"/>
          <w:color w:val="002060"/>
          <w:sz w:val="24"/>
          <w:szCs w:val="24"/>
          <w:lang w:bidi="hi-IN"/>
        </w:rPr>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3042E0" w:rsidRDefault="003042E0" w:rsidP="00EB5003">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t>Procedury dokonywania ewaluacji i monitoringu</w:t>
      </w:r>
      <w:bookmarkEnd w:id="55"/>
    </w:p>
    <w:p w:rsidR="00DF2F05" w:rsidRPr="00BC5629" w:rsidRDefault="00DF2F05" w:rsidP="00121A1E">
      <w:pPr>
        <w:spacing w:after="0"/>
        <w:rPr>
          <w:rFonts w:ascii="Times New Roman" w:hAnsi="Times New Roman" w:cs="Times New Roman"/>
          <w:b/>
          <w:strike/>
          <w:color w:val="FF0000"/>
          <w:lang w:eastAsia="pl-PL"/>
        </w:rPr>
      </w:pPr>
      <w:bookmarkStart w:id="56" w:name="_Toc442207823"/>
      <w:r w:rsidRPr="00BC5629">
        <w:rPr>
          <w:rFonts w:ascii="Times New Roman" w:hAnsi="Times New Roman" w:cs="Times New Roman"/>
          <w:b/>
          <w:strike/>
          <w:color w:val="FF0000"/>
          <w:lang w:eastAsia="pl-PL"/>
        </w:rPr>
        <w:t>Procedura dokonywania monitoringu i ewaluacji</w:t>
      </w:r>
      <w:bookmarkEnd w:id="56"/>
    </w:p>
    <w:p w:rsidR="00DF2F05" w:rsidRPr="00BC5629" w:rsidRDefault="00DF2F05" w:rsidP="00DF2F05">
      <w:pPr>
        <w:spacing w:line="240" w:lineRule="auto"/>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W poniższej tabeli szczegółowo rozpisano aspekty funkcjonowania i realizacji LSR, które będą podlegać analizie i ocenie w ramach monitoringu.</w:t>
      </w:r>
    </w:p>
    <w:tbl>
      <w:tblPr>
        <w:tblW w:w="9072" w:type="dxa"/>
        <w:tblInd w:w="856" w:type="dxa"/>
        <w:tblLayout w:type="fixed"/>
        <w:tblCellMar>
          <w:left w:w="10" w:type="dxa"/>
          <w:right w:w="10" w:type="dxa"/>
        </w:tblCellMar>
        <w:tblLook w:val="0000" w:firstRow="0" w:lastRow="0" w:firstColumn="0" w:lastColumn="0" w:noHBand="0" w:noVBand="0"/>
      </w:tblPr>
      <w:tblGrid>
        <w:gridCol w:w="1756"/>
        <w:gridCol w:w="3658"/>
        <w:gridCol w:w="3658"/>
      </w:tblGrid>
      <w:tr w:rsidR="00BC5629" w:rsidRPr="00BC5629" w:rsidTr="001E7922">
        <w:trPr>
          <w:trHeight w:val="798"/>
        </w:trPr>
        <w:tc>
          <w:tcPr>
            <w:tcW w:w="1756"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LineNumbers/>
              <w:suppressAutoHyphens/>
              <w:autoSpaceDN w:val="0"/>
              <w:spacing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Elementy podlegające monitorowaniu</w:t>
            </w:r>
          </w:p>
        </w:tc>
        <w:tc>
          <w:tcPr>
            <w:tcW w:w="3658"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LineNumbers/>
              <w:suppressAutoHyphens/>
              <w:autoSpaceDN w:val="0"/>
              <w:spacing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Oceniane aspekty</w:t>
            </w:r>
          </w:p>
        </w:tc>
        <w:tc>
          <w:tcPr>
            <w:tcW w:w="36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DF2F05">
            <w:pPr>
              <w:suppressLineNumbers/>
              <w:suppressAutoHyphens/>
              <w:autoSpaceDN w:val="0"/>
              <w:spacing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Źródła danych</w:t>
            </w:r>
          </w:p>
        </w:tc>
      </w:tr>
      <w:tr w:rsidR="00BC5629" w:rsidRPr="00BC5629" w:rsidTr="00DF2F05">
        <w:tc>
          <w:tcPr>
            <w:tcW w:w="1756"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AutoHyphens/>
              <w:autoSpaceDN w:val="0"/>
              <w:spacing w:after="140"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Funkcjonowanie LGD i animacja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szkoleń dla pracowników LGD</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szkoleń dla organów LGD</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Efektywność doradztwa w biurze LGD</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 xml:space="preserve">Organizacja spotkań informacyjno-konsultacyjnych z mieszkańcami </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Postępy w realizacji planu komunikacji,</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Liczba porad i charakter doradztwa świadczonego w biurze LGD,</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Ocena świadczonego doradztwa</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zebrane z prowadzonych konkursów</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własne LGD</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Badania ankietowe (osoby korzystające z doradztwa, osoby uczestniczące w spotkaniach konsultacyjno-informacyjnych, mieszkańcy obszaru LGD)</w:t>
            </w:r>
          </w:p>
        </w:tc>
      </w:tr>
      <w:tr w:rsidR="00BC5629" w:rsidRPr="00BC5629" w:rsidTr="001E7922">
        <w:trPr>
          <w:trHeight w:val="1008"/>
        </w:trPr>
        <w:tc>
          <w:tcPr>
            <w:tcW w:w="1756"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AutoHyphens/>
              <w:autoSpaceDN w:val="0"/>
              <w:spacing w:after="140"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planu działania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Zgodność realizacji działań i naborów z harmonogram</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Przestrzeganie przyjętych procedur</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zebrane z prowadzonych konkursów</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własne LGD</w:t>
            </w:r>
          </w:p>
        </w:tc>
      </w:tr>
      <w:tr w:rsidR="00BC5629" w:rsidRPr="00BC5629" w:rsidTr="001E7922">
        <w:trPr>
          <w:trHeight w:val="2641"/>
        </w:trPr>
        <w:tc>
          <w:tcPr>
            <w:tcW w:w="1756"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AutoHyphens/>
              <w:autoSpaceDN w:val="0"/>
              <w:spacing w:after="140"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LSR</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Stopień osiągnięcia założonych wartości wskaźników (rezultatów i produktów)</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dzi</w:t>
            </w:r>
            <w:r w:rsidR="006929BC" w:rsidRPr="00BC5629">
              <w:rPr>
                <w:rFonts w:ascii="Times New Roman" w:eastAsia="Calibri" w:hAnsi="Times New Roman" w:cs="Times New Roman"/>
                <w:strike/>
                <w:color w:val="FF0000"/>
                <w:kern w:val="3"/>
                <w:lang w:bidi="en-US"/>
              </w:rPr>
              <w:t>ałań skierowanych do grupy defa</w:t>
            </w:r>
            <w:r w:rsidRPr="00BC5629">
              <w:rPr>
                <w:rFonts w:ascii="Times New Roman" w:eastAsia="Calibri" w:hAnsi="Times New Roman" w:cs="Times New Roman"/>
                <w:strike/>
                <w:color w:val="FF0000"/>
                <w:kern w:val="3"/>
                <w:lang w:bidi="en-US"/>
              </w:rPr>
              <w:t>w</w:t>
            </w:r>
            <w:r w:rsidR="006929BC" w:rsidRPr="00BC5629">
              <w:rPr>
                <w:rFonts w:ascii="Times New Roman" w:eastAsia="Calibri" w:hAnsi="Times New Roman" w:cs="Times New Roman"/>
                <w:strike/>
                <w:color w:val="FF0000"/>
                <w:kern w:val="3"/>
                <w:lang w:bidi="en-US"/>
              </w:rPr>
              <w:t>or</w:t>
            </w:r>
            <w:r w:rsidRPr="00BC5629">
              <w:rPr>
                <w:rFonts w:ascii="Times New Roman" w:eastAsia="Calibri" w:hAnsi="Times New Roman" w:cs="Times New Roman"/>
                <w:strike/>
                <w:color w:val="FF0000"/>
                <w:kern w:val="3"/>
                <w:lang w:bidi="en-US"/>
              </w:rPr>
              <w:t>yzowanej</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Ocena skuteczności stosowanych kryteriów wyboru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zebrane z prowadzonych konkursów</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własne LGD</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Sprawozdania beneficjentów</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Monitoring operacyjny</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Spotkania informacyjno-konsultacyjne</w:t>
            </w:r>
          </w:p>
        </w:tc>
      </w:tr>
      <w:tr w:rsidR="00BC5629" w:rsidRPr="00BC5629" w:rsidTr="001E7922">
        <w:trPr>
          <w:trHeight w:val="1377"/>
        </w:trPr>
        <w:tc>
          <w:tcPr>
            <w:tcW w:w="1756"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AutoHyphens/>
              <w:autoSpaceDN w:val="0"/>
              <w:spacing w:after="140"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projektów grantowych</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Postępy w realizacji projektów</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Adekwatność poniesionych kosztów w stosunku do zrealizowanych zadań</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Dokumentacja projektów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Monitoring operacyjny</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Sprawozdania grantobiorców</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własne LGD</w:t>
            </w:r>
          </w:p>
        </w:tc>
      </w:tr>
      <w:tr w:rsidR="00BC5629" w:rsidRPr="00BC5629" w:rsidTr="001E7922">
        <w:trPr>
          <w:trHeight w:val="1398"/>
        </w:trPr>
        <w:tc>
          <w:tcPr>
            <w:tcW w:w="1756"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AutoHyphens/>
              <w:autoSpaceDN w:val="0"/>
              <w:spacing w:after="140"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Budżet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Stopień wykorzystania funduszy</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Wysokość zakontraktowanych środków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zebrane z prowadzonych konkursów</w:t>
            </w:r>
          </w:p>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własne LGD</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Sprawozdania beneficjentów</w:t>
            </w:r>
          </w:p>
        </w:tc>
      </w:tr>
      <w:tr w:rsidR="00BC5629" w:rsidRPr="00BC5629" w:rsidTr="001E7922">
        <w:trPr>
          <w:trHeight w:val="1291"/>
        </w:trPr>
        <w:tc>
          <w:tcPr>
            <w:tcW w:w="1756"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AutoHyphens/>
              <w:autoSpaceDN w:val="0"/>
              <w:spacing w:after="140"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lastRenderedPageBreak/>
              <w:t>Funkcjonowanie organów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Częstotliwość i regularność spotkań organów LGD,</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Frekwencja na spotkaniach organów LGD</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1E7922">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własne LGD</w:t>
            </w:r>
          </w:p>
        </w:tc>
      </w:tr>
      <w:tr w:rsidR="00BC5629" w:rsidRPr="00BC5629" w:rsidTr="001E7922">
        <w:trPr>
          <w:trHeight w:val="4573"/>
        </w:trPr>
        <w:tc>
          <w:tcPr>
            <w:tcW w:w="1756"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F2F05">
            <w:pPr>
              <w:suppressAutoHyphens/>
              <w:autoSpaceDN w:val="0"/>
              <w:spacing w:after="140" w:line="240" w:lineRule="auto"/>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planu komunikacyjnego</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Liczba i charakter działań promocyjnych podjętych przez LGD,</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Liczba i charakter uczestnictwa w działaniach zewnętrznych wobec LGD (w tym wydarzeniach lokalnych i ponadlokalnych</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Realizacja wskaźników planu komunikacyjnego</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Jakościowe rezultaty realizacji planu komunikacyjnego</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Efektywność działań komunikacyjnych</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Stopień rozpoznawalności LGD wśród mieszkańców obszaru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BC5629"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Dane własne LGD</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Statystyki stron internetowych i kanałów w mediach społecznościowych</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Badania ankietowe mieszkańców obszaru</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Monitoring operacyjny</w:t>
            </w:r>
          </w:p>
          <w:p w:rsidR="00DF2F05" w:rsidRPr="00BC5629"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strike/>
                <w:color w:val="FF0000"/>
                <w:kern w:val="3"/>
                <w:lang w:bidi="en-US"/>
              </w:rPr>
            </w:pPr>
            <w:r w:rsidRPr="00BC5629">
              <w:rPr>
                <w:rFonts w:ascii="Times New Roman" w:eastAsia="Calibri" w:hAnsi="Times New Roman" w:cs="Times New Roman"/>
                <w:strike/>
                <w:color w:val="FF0000"/>
                <w:kern w:val="3"/>
                <w:lang w:bidi="en-US"/>
              </w:rPr>
              <w:t>Spotkania informacyjno-konsultacyjne</w:t>
            </w:r>
          </w:p>
        </w:tc>
      </w:tr>
    </w:tbl>
    <w:p w:rsidR="00DF2F05" w:rsidRPr="00BC5629" w:rsidRDefault="00DF2F05" w:rsidP="00DF2F05">
      <w:pPr>
        <w:spacing w:line="240" w:lineRule="auto"/>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Sposoby udostępniania mieszkańcom obszaru LGD danych gromadzonych w ramach monitoringu:</w:t>
      </w:r>
    </w:p>
    <w:p w:rsidR="00DF2F05" w:rsidRPr="00BC5629" w:rsidRDefault="00DF2F05" w:rsidP="00DA3854">
      <w:pPr>
        <w:numPr>
          <w:ilvl w:val="0"/>
          <w:numId w:val="45"/>
        </w:numPr>
        <w:spacing w:line="240" w:lineRule="auto"/>
        <w:contextualSpacing/>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Strona internetowa LGD</w:t>
      </w:r>
    </w:p>
    <w:p w:rsidR="00DF2F05" w:rsidRPr="00BC5629" w:rsidRDefault="00DF2F05" w:rsidP="00DA3854">
      <w:pPr>
        <w:numPr>
          <w:ilvl w:val="0"/>
          <w:numId w:val="45"/>
        </w:numPr>
        <w:spacing w:line="240" w:lineRule="auto"/>
        <w:contextualSpacing/>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Profil na portalu społecznościowym Facebook</w:t>
      </w:r>
    </w:p>
    <w:p w:rsidR="00DF2F05" w:rsidRPr="00BC5629" w:rsidRDefault="00DF2F05" w:rsidP="00DA3854">
      <w:pPr>
        <w:numPr>
          <w:ilvl w:val="0"/>
          <w:numId w:val="45"/>
        </w:numPr>
        <w:spacing w:line="240" w:lineRule="auto"/>
        <w:contextualSpacing/>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Spotkania informacyjno-konsultacyjne, w tym zwłaszcza doroczne w spotkania zawierające część warsztatową poświęconą ocenie danych zgromadzonych w czasie monitoringu.</w:t>
      </w:r>
    </w:p>
    <w:p w:rsidR="00DF2F05" w:rsidRPr="00BC5629" w:rsidRDefault="00DF2F05" w:rsidP="00DA3854">
      <w:pPr>
        <w:numPr>
          <w:ilvl w:val="0"/>
          <w:numId w:val="45"/>
        </w:numPr>
        <w:spacing w:line="240" w:lineRule="auto"/>
        <w:contextualSpacing/>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Newsletter</w:t>
      </w:r>
    </w:p>
    <w:p w:rsidR="00DF2F05" w:rsidRPr="00BC5629" w:rsidRDefault="00DF2F05" w:rsidP="00DA3854">
      <w:pPr>
        <w:numPr>
          <w:ilvl w:val="0"/>
          <w:numId w:val="45"/>
        </w:numPr>
        <w:spacing w:line="240" w:lineRule="auto"/>
        <w:contextualSpacing/>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Komunikacja bezpośrednia (w czasie doradztwa w biurze, wizji lokalnych, imprez lokalnych).</w:t>
      </w:r>
    </w:p>
    <w:p w:rsidR="00DF2F05" w:rsidRPr="00BC5629" w:rsidRDefault="00DF2F05" w:rsidP="00DF2F05">
      <w:pPr>
        <w:spacing w:line="240" w:lineRule="auto"/>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 xml:space="preserve">W rozdziale XII LSR przedstawione zostały kryteria ewaluacyjne, które zostaną wykorzystane do badania i oceny funkcjonowania LGD. W poniższej tabeli dokonano powiązania kryteriów z poszczególnymi turami badań ewaluacyjnych, pytaniami badawczymi oraz technikami pozyskiwania danych. </w:t>
      </w:r>
    </w:p>
    <w:tbl>
      <w:tblPr>
        <w:tblStyle w:val="Tabela-Siatka2"/>
        <w:tblW w:w="0" w:type="auto"/>
        <w:tblInd w:w="743" w:type="dxa"/>
        <w:tblLook w:val="04A0" w:firstRow="1" w:lastRow="0" w:firstColumn="1" w:lastColumn="0" w:noHBand="0" w:noVBand="1"/>
      </w:tblPr>
      <w:tblGrid>
        <w:gridCol w:w="1683"/>
        <w:gridCol w:w="4687"/>
        <w:gridCol w:w="2943"/>
      </w:tblGrid>
      <w:tr w:rsidR="00BC5629" w:rsidRPr="00BC5629" w:rsidTr="00DF2F05">
        <w:tc>
          <w:tcPr>
            <w:tcW w:w="1683" w:type="dxa"/>
          </w:tcPr>
          <w:p w:rsidR="00DF2F05" w:rsidRPr="00BC5629" w:rsidRDefault="00DF2F05" w:rsidP="00DF2F05">
            <w:pPr>
              <w:spacing w:after="200"/>
              <w:rPr>
                <w:b/>
                <w:strike/>
                <w:color w:val="FF0000"/>
                <w:sz w:val="22"/>
                <w:szCs w:val="22"/>
                <w:lang w:val="pl-PL"/>
              </w:rPr>
            </w:pPr>
            <w:r w:rsidRPr="00BC5629">
              <w:rPr>
                <w:b/>
                <w:strike/>
                <w:color w:val="FF0000"/>
                <w:sz w:val="22"/>
                <w:szCs w:val="22"/>
                <w:lang w:val="pl-PL"/>
              </w:rPr>
              <w:t>Tura badań ewaluacyjnych oraz podmiot odpowiedzialny</w:t>
            </w:r>
          </w:p>
        </w:tc>
        <w:tc>
          <w:tcPr>
            <w:tcW w:w="4687" w:type="dxa"/>
          </w:tcPr>
          <w:p w:rsidR="00DF2F05" w:rsidRPr="00BC5629" w:rsidRDefault="00DF2F05" w:rsidP="00DF2F05">
            <w:pPr>
              <w:spacing w:after="200"/>
              <w:rPr>
                <w:b/>
                <w:strike/>
                <w:color w:val="FF0000"/>
                <w:sz w:val="22"/>
                <w:szCs w:val="22"/>
                <w:lang w:val="pl-PL"/>
              </w:rPr>
            </w:pPr>
            <w:r w:rsidRPr="00BC5629">
              <w:rPr>
                <w:b/>
                <w:strike/>
                <w:color w:val="FF0000"/>
                <w:sz w:val="22"/>
                <w:szCs w:val="22"/>
                <w:lang w:val="pl-PL"/>
              </w:rPr>
              <w:t>Kryteria ewaluacyjne i główne pytania badawcze</w:t>
            </w:r>
          </w:p>
        </w:tc>
        <w:tc>
          <w:tcPr>
            <w:tcW w:w="2943" w:type="dxa"/>
          </w:tcPr>
          <w:p w:rsidR="00DF2F05" w:rsidRPr="00BC5629" w:rsidRDefault="00DF2F05" w:rsidP="00DF2F05">
            <w:pPr>
              <w:spacing w:after="200"/>
              <w:rPr>
                <w:b/>
                <w:strike/>
                <w:color w:val="FF0000"/>
                <w:sz w:val="22"/>
                <w:szCs w:val="22"/>
              </w:rPr>
            </w:pPr>
            <w:proofErr w:type="spellStart"/>
            <w:r w:rsidRPr="00BC5629">
              <w:rPr>
                <w:b/>
                <w:strike/>
                <w:color w:val="FF0000"/>
                <w:sz w:val="22"/>
                <w:szCs w:val="22"/>
              </w:rPr>
              <w:t>Techniki</w:t>
            </w:r>
            <w:proofErr w:type="spellEnd"/>
            <w:r w:rsidRPr="00BC5629">
              <w:rPr>
                <w:b/>
                <w:strike/>
                <w:color w:val="FF0000"/>
                <w:sz w:val="22"/>
                <w:szCs w:val="22"/>
              </w:rPr>
              <w:t xml:space="preserve"> </w:t>
            </w:r>
            <w:proofErr w:type="spellStart"/>
            <w:r w:rsidRPr="00BC5629">
              <w:rPr>
                <w:b/>
                <w:strike/>
                <w:color w:val="FF0000"/>
                <w:sz w:val="22"/>
                <w:szCs w:val="22"/>
              </w:rPr>
              <w:t>badawcze</w:t>
            </w:r>
            <w:proofErr w:type="spellEnd"/>
          </w:p>
        </w:tc>
      </w:tr>
      <w:tr w:rsidR="00BC5629" w:rsidRPr="00BC5629" w:rsidTr="001E7922">
        <w:trPr>
          <w:trHeight w:val="2612"/>
        </w:trPr>
        <w:tc>
          <w:tcPr>
            <w:tcW w:w="168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Ewaluacja ex-</w:t>
            </w:r>
            <w:proofErr w:type="spellStart"/>
            <w:r w:rsidRPr="00BC5629">
              <w:rPr>
                <w:strike/>
                <w:color w:val="FF0000"/>
                <w:sz w:val="22"/>
                <w:szCs w:val="22"/>
                <w:lang w:val="pl-PL"/>
              </w:rPr>
              <w:t>ante</w:t>
            </w:r>
            <w:proofErr w:type="spellEnd"/>
            <w:r w:rsidRPr="00BC5629">
              <w:rPr>
                <w:strike/>
                <w:color w:val="FF0000"/>
                <w:sz w:val="22"/>
                <w:szCs w:val="22"/>
                <w:lang w:val="pl-PL"/>
              </w:rPr>
              <w:t xml:space="preserve"> – pracownicy i zarząd LGD (ocena własna)</w:t>
            </w:r>
          </w:p>
        </w:tc>
        <w:tc>
          <w:tcPr>
            <w:tcW w:w="4687" w:type="dxa"/>
          </w:tcPr>
          <w:p w:rsidR="00DF2F05" w:rsidRPr="00BC5629" w:rsidRDefault="00DF2F05" w:rsidP="00DF2F05">
            <w:pPr>
              <w:tabs>
                <w:tab w:val="right" w:pos="2805"/>
              </w:tabs>
              <w:spacing w:after="200"/>
              <w:rPr>
                <w:b/>
                <w:strike/>
                <w:color w:val="FF0000"/>
                <w:sz w:val="22"/>
                <w:szCs w:val="22"/>
                <w:lang w:val="pl-PL"/>
              </w:rPr>
            </w:pPr>
            <w:r w:rsidRPr="00BC5629">
              <w:rPr>
                <w:b/>
                <w:strike/>
                <w:color w:val="FF0000"/>
                <w:sz w:val="22"/>
                <w:szCs w:val="22"/>
                <w:lang w:val="pl-PL"/>
              </w:rPr>
              <w:t>Trafność</w:t>
            </w:r>
          </w:p>
          <w:p w:rsidR="00DF2F05" w:rsidRPr="00BC5629" w:rsidRDefault="00DF2F05" w:rsidP="00DF2F05">
            <w:pPr>
              <w:tabs>
                <w:tab w:val="right" w:pos="2805"/>
              </w:tabs>
              <w:spacing w:after="200"/>
              <w:rPr>
                <w:strike/>
                <w:color w:val="FF0000"/>
                <w:sz w:val="22"/>
                <w:szCs w:val="22"/>
                <w:lang w:val="pl-PL"/>
              </w:rPr>
            </w:pPr>
            <w:r w:rsidRPr="00BC5629">
              <w:rPr>
                <w:strike/>
                <w:color w:val="FF0000"/>
                <w:sz w:val="22"/>
                <w:szCs w:val="22"/>
                <w:lang w:val="pl-PL"/>
              </w:rPr>
              <w:t>Jakie idee przyświecały wyborowi celów? Czy przyjęte założenia były poparte rzetelną diagnozą?</w:t>
            </w:r>
          </w:p>
          <w:p w:rsidR="00DF2F05" w:rsidRPr="00BC5629" w:rsidRDefault="00DF2F05" w:rsidP="00DF2F05">
            <w:pPr>
              <w:tabs>
                <w:tab w:val="right" w:pos="2805"/>
              </w:tabs>
              <w:spacing w:after="200"/>
              <w:rPr>
                <w:strike/>
                <w:color w:val="FF0000"/>
                <w:sz w:val="22"/>
                <w:szCs w:val="22"/>
                <w:lang w:val="pl-PL"/>
              </w:rPr>
            </w:pPr>
            <w:r w:rsidRPr="00BC5629">
              <w:rPr>
                <w:strike/>
                <w:color w:val="FF0000"/>
                <w:sz w:val="22"/>
                <w:szCs w:val="22"/>
                <w:lang w:val="pl-PL"/>
              </w:rPr>
              <w:t>W jakim stopniu uwzględniono głos społeczności lokalnej przy wyborze celów?</w:t>
            </w:r>
          </w:p>
          <w:p w:rsidR="00DF2F05" w:rsidRPr="00BC5629" w:rsidRDefault="00DF2F05" w:rsidP="00DF2F05">
            <w:pPr>
              <w:tabs>
                <w:tab w:val="right" w:pos="2805"/>
              </w:tabs>
              <w:spacing w:after="200"/>
              <w:rPr>
                <w:strike/>
                <w:color w:val="FF0000"/>
                <w:sz w:val="22"/>
                <w:szCs w:val="22"/>
                <w:lang w:val="pl-PL"/>
              </w:rPr>
            </w:pPr>
            <w:r w:rsidRPr="00BC5629">
              <w:rPr>
                <w:strike/>
                <w:color w:val="FF0000"/>
                <w:sz w:val="22"/>
                <w:szCs w:val="22"/>
                <w:lang w:val="pl-PL"/>
              </w:rPr>
              <w:t>Ocena powiązania celów LSR z celami szczegółowymi PROW.</w:t>
            </w:r>
          </w:p>
          <w:p w:rsidR="00DF2F05" w:rsidRPr="00BC5629" w:rsidRDefault="00DF2F05" w:rsidP="00DF2F05">
            <w:pPr>
              <w:tabs>
                <w:tab w:val="right" w:pos="2805"/>
              </w:tabs>
              <w:spacing w:after="200"/>
              <w:rPr>
                <w:strike/>
                <w:color w:val="FF0000"/>
                <w:sz w:val="22"/>
                <w:szCs w:val="22"/>
                <w:lang w:val="pl-PL"/>
              </w:rPr>
            </w:pPr>
            <w:r w:rsidRPr="00BC5629">
              <w:rPr>
                <w:strike/>
                <w:color w:val="FF0000"/>
                <w:sz w:val="22"/>
                <w:szCs w:val="22"/>
                <w:lang w:val="pl-PL"/>
              </w:rPr>
              <w:t>Ocena przyjętych rozwiązań w zakresie funkcjonowania LGD, w tym świadczonego doradztwa i aktywizacji społeczności, pod względem:</w:t>
            </w:r>
          </w:p>
          <w:p w:rsidR="00DF2F05" w:rsidRPr="00BC5629" w:rsidRDefault="00DF2F05" w:rsidP="00DF2F05">
            <w:pPr>
              <w:tabs>
                <w:tab w:val="right" w:pos="2805"/>
              </w:tabs>
              <w:spacing w:after="200"/>
              <w:rPr>
                <w:strike/>
                <w:color w:val="FF0000"/>
                <w:sz w:val="22"/>
                <w:szCs w:val="22"/>
                <w:lang w:val="pl-PL"/>
              </w:rPr>
            </w:pPr>
            <w:r w:rsidRPr="00BC5629">
              <w:rPr>
                <w:strike/>
                <w:color w:val="FF0000"/>
                <w:sz w:val="22"/>
                <w:szCs w:val="22"/>
                <w:lang w:val="pl-PL"/>
              </w:rPr>
              <w:lastRenderedPageBreak/>
              <w:t>•</w:t>
            </w:r>
            <w:r w:rsidRPr="00BC5629">
              <w:rPr>
                <w:strike/>
                <w:color w:val="FF0000"/>
                <w:sz w:val="22"/>
                <w:szCs w:val="22"/>
                <w:lang w:val="pl-PL"/>
              </w:rPr>
              <w:tab/>
              <w:t xml:space="preserve">jego zgodności z zasadami realizacji RLKS </w:t>
            </w:r>
          </w:p>
          <w:p w:rsidR="00DF2F05" w:rsidRPr="00BC5629" w:rsidRDefault="00DF2F05" w:rsidP="00DF2F05">
            <w:pPr>
              <w:tabs>
                <w:tab w:val="right" w:pos="2805"/>
              </w:tabs>
              <w:spacing w:after="200"/>
              <w:rPr>
                <w:strike/>
                <w:color w:val="FF0000"/>
                <w:sz w:val="22"/>
                <w:szCs w:val="22"/>
                <w:lang w:val="pl-PL"/>
              </w:rPr>
            </w:pPr>
            <w:r w:rsidRPr="00BC5629">
              <w:rPr>
                <w:strike/>
                <w:color w:val="FF0000"/>
                <w:sz w:val="22"/>
                <w:szCs w:val="22"/>
                <w:lang w:val="pl-PL"/>
              </w:rPr>
              <w:t>•</w:t>
            </w:r>
            <w:r w:rsidRPr="00BC5629">
              <w:rPr>
                <w:strike/>
                <w:color w:val="FF0000"/>
                <w:sz w:val="22"/>
                <w:szCs w:val="22"/>
                <w:lang w:val="pl-PL"/>
              </w:rPr>
              <w:tab/>
              <w:t>oczekiwań mieszkańców obszaru LGD.</w:t>
            </w:r>
            <w:r w:rsidRPr="00BC5629">
              <w:rPr>
                <w:strike/>
                <w:color w:val="FF0000"/>
                <w:sz w:val="22"/>
                <w:szCs w:val="22"/>
                <w:lang w:val="pl-PL"/>
              </w:rPr>
              <w:tab/>
            </w:r>
          </w:p>
          <w:p w:rsidR="00DF2F05" w:rsidRPr="00BC5629" w:rsidRDefault="00DF2F05" w:rsidP="00DF2F05">
            <w:pPr>
              <w:tabs>
                <w:tab w:val="right" w:pos="2805"/>
              </w:tabs>
              <w:spacing w:after="200"/>
              <w:rPr>
                <w:strike/>
                <w:color w:val="FF0000"/>
                <w:sz w:val="22"/>
                <w:szCs w:val="22"/>
                <w:lang w:val="pl-PL"/>
              </w:rPr>
            </w:pPr>
            <w:r w:rsidRPr="00BC5629">
              <w:rPr>
                <w:b/>
                <w:strike/>
                <w:color w:val="FF0000"/>
                <w:sz w:val="22"/>
                <w:szCs w:val="22"/>
                <w:lang w:val="pl-PL"/>
              </w:rPr>
              <w:t>Spójność</w:t>
            </w:r>
          </w:p>
          <w:p w:rsidR="00DF2F05" w:rsidRPr="00BC5629" w:rsidRDefault="00DF2F05" w:rsidP="00DF2F05">
            <w:pPr>
              <w:tabs>
                <w:tab w:val="right" w:pos="2805"/>
              </w:tabs>
              <w:spacing w:after="200"/>
              <w:rPr>
                <w:strike/>
                <w:color w:val="FF0000"/>
                <w:sz w:val="22"/>
                <w:szCs w:val="22"/>
                <w:lang w:val="pl-PL"/>
              </w:rPr>
            </w:pPr>
            <w:r w:rsidRPr="00BC5629">
              <w:rPr>
                <w:strike/>
                <w:color w:val="FF0000"/>
                <w:sz w:val="22"/>
                <w:szCs w:val="22"/>
                <w:lang w:val="pl-PL"/>
              </w:rPr>
              <w:t>Ocena spójności LSR i planowanych działań z innymi strategiami i programami obejmującymi obszar realizacji LSR</w:t>
            </w:r>
          </w:p>
        </w:tc>
        <w:tc>
          <w:tcPr>
            <w:tcW w:w="2943"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lastRenderedPageBreak/>
              <w:t>Analiza</w:t>
            </w:r>
            <w:proofErr w:type="spellEnd"/>
            <w:r w:rsidRPr="00BC5629">
              <w:rPr>
                <w:strike/>
                <w:color w:val="FF0000"/>
                <w:sz w:val="22"/>
                <w:szCs w:val="22"/>
              </w:rPr>
              <w:t xml:space="preserve"> </w:t>
            </w:r>
            <w:proofErr w:type="spellStart"/>
            <w:r w:rsidRPr="00BC5629">
              <w:rPr>
                <w:strike/>
                <w:color w:val="FF0000"/>
                <w:sz w:val="22"/>
                <w:szCs w:val="22"/>
              </w:rPr>
              <w:t>danych</w:t>
            </w:r>
            <w:proofErr w:type="spellEnd"/>
            <w:r w:rsidRPr="00BC5629">
              <w:rPr>
                <w:strike/>
                <w:color w:val="FF0000"/>
                <w:sz w:val="22"/>
                <w:szCs w:val="22"/>
              </w:rPr>
              <w:t xml:space="preserve"> </w:t>
            </w:r>
            <w:proofErr w:type="spellStart"/>
            <w:r w:rsidRPr="00BC5629">
              <w:rPr>
                <w:strike/>
                <w:color w:val="FF0000"/>
                <w:sz w:val="22"/>
                <w:szCs w:val="22"/>
              </w:rPr>
              <w:t>zastanych</w:t>
            </w:r>
            <w:proofErr w:type="spellEnd"/>
          </w:p>
        </w:tc>
      </w:tr>
      <w:tr w:rsidR="00BC5629" w:rsidRPr="00BC5629" w:rsidTr="00DF2F05">
        <w:tc>
          <w:tcPr>
            <w:tcW w:w="168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lastRenderedPageBreak/>
              <w:t xml:space="preserve">Ewaluacja </w:t>
            </w:r>
            <w:proofErr w:type="spellStart"/>
            <w:r w:rsidRPr="00BC5629">
              <w:rPr>
                <w:strike/>
                <w:color w:val="FF0000"/>
                <w:sz w:val="22"/>
                <w:szCs w:val="22"/>
                <w:lang w:val="pl-PL"/>
              </w:rPr>
              <w:t>mid</w:t>
            </w:r>
            <w:proofErr w:type="spellEnd"/>
            <w:r w:rsidRPr="00BC5629">
              <w:rPr>
                <w:strike/>
                <w:color w:val="FF0000"/>
                <w:sz w:val="22"/>
                <w:szCs w:val="22"/>
                <w:lang w:val="pl-PL"/>
              </w:rPr>
              <w:t>-term – zewnętrzni, niezależni eksperci</w:t>
            </w:r>
          </w:p>
        </w:tc>
        <w:tc>
          <w:tcPr>
            <w:tcW w:w="4687" w:type="dxa"/>
          </w:tcPr>
          <w:p w:rsidR="00DF2F05" w:rsidRPr="00BC5629" w:rsidRDefault="00DF2F05" w:rsidP="00DF2F05">
            <w:pPr>
              <w:spacing w:after="200"/>
              <w:rPr>
                <w:b/>
                <w:strike/>
                <w:color w:val="FF0000"/>
                <w:sz w:val="22"/>
                <w:szCs w:val="22"/>
                <w:lang w:val="pl-PL"/>
              </w:rPr>
            </w:pPr>
            <w:r w:rsidRPr="00BC5629">
              <w:rPr>
                <w:b/>
                <w:strike/>
                <w:color w:val="FF0000"/>
                <w:sz w:val="22"/>
                <w:szCs w:val="22"/>
                <w:lang w:val="pl-PL"/>
              </w:rPr>
              <w:t>Trafność, spójność, efektywność, skuteczność, użyteczność (pytania badawcze dla kryteriów – jak powyżej)</w:t>
            </w:r>
          </w:p>
        </w:tc>
        <w:tc>
          <w:tcPr>
            <w:tcW w:w="294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Analiza danych zastanych</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Badania ankietowe wnioskodawców</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Badania ankietowe mieszkańców obszaru LGD</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Wywiady eksperckie (w tym wywiady z pracownikami biura oraz przedstawicielami organów LGD)</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Warsztaty partycypacyjne dla mieszkańców gmin LGD (w ramach dorocznych spotkań informacyjno-konsultacyjnych)</w:t>
            </w:r>
          </w:p>
        </w:tc>
      </w:tr>
      <w:tr w:rsidR="00BC5629" w:rsidRPr="00BC5629" w:rsidTr="001E7922">
        <w:trPr>
          <w:trHeight w:val="4346"/>
        </w:trPr>
        <w:tc>
          <w:tcPr>
            <w:tcW w:w="168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Ewaluacja ex-post - zewnętrzni, niezależni eksperci</w:t>
            </w:r>
          </w:p>
        </w:tc>
        <w:tc>
          <w:tcPr>
            <w:tcW w:w="4687" w:type="dxa"/>
          </w:tcPr>
          <w:p w:rsidR="00DF2F05" w:rsidRPr="00BC5629" w:rsidRDefault="00DF2F05" w:rsidP="00DF2F05">
            <w:pPr>
              <w:spacing w:after="200"/>
              <w:rPr>
                <w:b/>
                <w:strike/>
                <w:color w:val="FF0000"/>
                <w:sz w:val="22"/>
                <w:szCs w:val="22"/>
                <w:lang w:val="pl-PL"/>
              </w:rPr>
            </w:pPr>
            <w:r w:rsidRPr="00BC5629">
              <w:rPr>
                <w:b/>
                <w:strike/>
                <w:color w:val="FF0000"/>
                <w:sz w:val="22"/>
                <w:szCs w:val="22"/>
                <w:lang w:val="pl-PL"/>
              </w:rPr>
              <w:t>Efektywność, skuteczność, użyteczność (pytania badawcze dla kryteriów – jak powyżej).</w:t>
            </w:r>
          </w:p>
          <w:p w:rsidR="00DF2F05" w:rsidRPr="00BC5629" w:rsidRDefault="00DF2F05" w:rsidP="00DF2F05">
            <w:pPr>
              <w:spacing w:after="200"/>
              <w:rPr>
                <w:b/>
                <w:strike/>
                <w:color w:val="FF0000"/>
                <w:sz w:val="22"/>
                <w:szCs w:val="22"/>
                <w:lang w:val="pl-PL"/>
              </w:rPr>
            </w:pPr>
            <w:r w:rsidRPr="00BC5629">
              <w:rPr>
                <w:b/>
                <w:strike/>
                <w:color w:val="FF0000"/>
                <w:sz w:val="22"/>
                <w:szCs w:val="22"/>
                <w:lang w:val="pl-PL"/>
              </w:rPr>
              <w:t>Komplementarność</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Czy działania realizowane w toku wdrażania LSR uzupełniały się z innymi programami obejmującymi obszar LGD?</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 jakim stopniu działania realizowane w toku wdrażania LSR uzupełniały się wzajemnie?</w:t>
            </w:r>
          </w:p>
          <w:p w:rsidR="00DF2F05" w:rsidRPr="00BC5629" w:rsidRDefault="00DF2F05" w:rsidP="00DF2F05">
            <w:pPr>
              <w:spacing w:after="200"/>
              <w:rPr>
                <w:b/>
                <w:strike/>
                <w:color w:val="FF0000"/>
                <w:sz w:val="22"/>
                <w:szCs w:val="22"/>
                <w:lang w:val="pl-PL"/>
              </w:rPr>
            </w:pPr>
            <w:r w:rsidRPr="00BC5629">
              <w:rPr>
                <w:b/>
                <w:strike/>
                <w:color w:val="FF0000"/>
                <w:sz w:val="22"/>
                <w:szCs w:val="22"/>
                <w:lang w:val="pl-PL"/>
              </w:rPr>
              <w:t>Trwałość</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 xml:space="preserve">Czy zrealizowane operacje wywołały trwałe zmiany w lokalnej społeczności? </w:t>
            </w:r>
          </w:p>
        </w:tc>
        <w:tc>
          <w:tcPr>
            <w:tcW w:w="294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 xml:space="preserve">Analiza danych zastanych </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Badania ankietowe wnioskodawców</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Badania ankietowe mieszkańców obszaru LGD</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Wywiady eksperckie (w tym wywiady z pracownikami biura oraz przedstawicielami organów LGD)</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Warsztaty partycypacyjne dla mieszkańców gmin LGD (w ramach dorocznych spotkań informacyjno-konsultacyjnych)</w:t>
            </w:r>
          </w:p>
        </w:tc>
      </w:tr>
    </w:tbl>
    <w:p w:rsidR="00DF2F05" w:rsidRPr="00BC5629" w:rsidRDefault="00DF2F05" w:rsidP="00DF2F05">
      <w:pPr>
        <w:spacing w:line="240" w:lineRule="auto"/>
        <w:jc w:val="both"/>
        <w:rPr>
          <w:rFonts w:ascii="Times New Roman" w:eastAsia="Calibri" w:hAnsi="Times New Roman" w:cs="Times New Roman"/>
          <w:strike/>
          <w:color w:val="FF0000"/>
          <w:lang w:eastAsia="pl-PL"/>
        </w:rPr>
      </w:pPr>
      <w:r w:rsidRPr="00BC5629">
        <w:rPr>
          <w:rFonts w:ascii="Times New Roman" w:eastAsia="Calibri" w:hAnsi="Times New Roman" w:cs="Times New Roman"/>
          <w:strike/>
          <w:color w:val="FF0000"/>
          <w:lang w:eastAsia="pl-PL"/>
        </w:rPr>
        <w:t xml:space="preserve">W poniższej tabeli ujęto dodatkowe informacje na temat źródeł danych wykorzystywanych w różnych turach badań ewaluacyjnych, terminów realizacji poszczególnych tur oraz efektów badań ewaluacyjnych. </w:t>
      </w:r>
    </w:p>
    <w:tbl>
      <w:tblPr>
        <w:tblStyle w:val="Tabela-Siatka2"/>
        <w:tblW w:w="9382" w:type="dxa"/>
        <w:tblInd w:w="721" w:type="dxa"/>
        <w:tblLayout w:type="fixed"/>
        <w:tblLook w:val="0000" w:firstRow="0" w:lastRow="0" w:firstColumn="0" w:lastColumn="0" w:noHBand="0" w:noVBand="0"/>
      </w:tblPr>
      <w:tblGrid>
        <w:gridCol w:w="567"/>
        <w:gridCol w:w="992"/>
        <w:gridCol w:w="3066"/>
        <w:gridCol w:w="1134"/>
        <w:gridCol w:w="3623"/>
      </w:tblGrid>
      <w:tr w:rsidR="00BC5629" w:rsidRPr="00BC5629" w:rsidTr="00DF2F05">
        <w:trPr>
          <w:trHeight w:val="143"/>
        </w:trPr>
        <w:tc>
          <w:tcPr>
            <w:tcW w:w="567" w:type="dxa"/>
          </w:tcPr>
          <w:p w:rsidR="00DF2F05" w:rsidRPr="00BC5629" w:rsidRDefault="00DF2F05" w:rsidP="00DF2F05">
            <w:pPr>
              <w:spacing w:after="200"/>
              <w:rPr>
                <w:strike/>
                <w:color w:val="FF0000"/>
                <w:sz w:val="22"/>
                <w:szCs w:val="22"/>
                <w:lang w:val="pl-PL"/>
              </w:rPr>
            </w:pPr>
          </w:p>
        </w:tc>
        <w:tc>
          <w:tcPr>
            <w:tcW w:w="992"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Wykonawca</w:t>
            </w:r>
            <w:proofErr w:type="spellEnd"/>
          </w:p>
        </w:tc>
        <w:tc>
          <w:tcPr>
            <w:tcW w:w="3066"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Źródła danych i techniki ich pozyskania</w:t>
            </w:r>
          </w:p>
        </w:tc>
        <w:tc>
          <w:tcPr>
            <w:tcW w:w="1134"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Termin</w:t>
            </w:r>
            <w:proofErr w:type="spellEnd"/>
            <w:r w:rsidRPr="00BC5629">
              <w:rPr>
                <w:strike/>
                <w:color w:val="FF0000"/>
                <w:sz w:val="22"/>
                <w:szCs w:val="22"/>
              </w:rPr>
              <w:t xml:space="preserve"> </w:t>
            </w:r>
            <w:proofErr w:type="spellStart"/>
            <w:r w:rsidRPr="00BC5629">
              <w:rPr>
                <w:strike/>
                <w:color w:val="FF0000"/>
                <w:sz w:val="22"/>
                <w:szCs w:val="22"/>
              </w:rPr>
              <w:t>realizacji</w:t>
            </w:r>
            <w:proofErr w:type="spellEnd"/>
          </w:p>
        </w:tc>
        <w:tc>
          <w:tcPr>
            <w:tcW w:w="3623"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Efekt</w:t>
            </w:r>
            <w:proofErr w:type="spellEnd"/>
            <w:r w:rsidRPr="00BC5629">
              <w:rPr>
                <w:strike/>
                <w:color w:val="FF0000"/>
                <w:sz w:val="22"/>
                <w:szCs w:val="22"/>
              </w:rPr>
              <w:t xml:space="preserve"> </w:t>
            </w:r>
            <w:proofErr w:type="spellStart"/>
            <w:r w:rsidRPr="00BC5629">
              <w:rPr>
                <w:strike/>
                <w:color w:val="FF0000"/>
                <w:sz w:val="22"/>
                <w:szCs w:val="22"/>
              </w:rPr>
              <w:t>realizacji</w:t>
            </w:r>
            <w:proofErr w:type="spellEnd"/>
          </w:p>
        </w:tc>
      </w:tr>
      <w:tr w:rsidR="00BC5629" w:rsidRPr="00BC5629" w:rsidTr="001E7922">
        <w:trPr>
          <w:trHeight w:val="2895"/>
        </w:trPr>
        <w:tc>
          <w:tcPr>
            <w:tcW w:w="567" w:type="dxa"/>
          </w:tcPr>
          <w:p w:rsidR="00DF2F05" w:rsidRPr="00BC5629" w:rsidRDefault="00DF2F05" w:rsidP="00DF2F05">
            <w:pPr>
              <w:spacing w:after="200"/>
              <w:ind w:left="113" w:right="113"/>
              <w:jc w:val="center"/>
              <w:rPr>
                <w:strike/>
                <w:color w:val="FF0000"/>
                <w:sz w:val="22"/>
                <w:szCs w:val="22"/>
              </w:rPr>
            </w:pPr>
            <w:r w:rsidRPr="00BC5629">
              <w:rPr>
                <w:strike/>
                <w:color w:val="FF0000"/>
                <w:sz w:val="22"/>
                <w:szCs w:val="22"/>
              </w:rPr>
              <w:lastRenderedPageBreak/>
              <w:t>Ex-ante</w:t>
            </w:r>
          </w:p>
        </w:tc>
        <w:tc>
          <w:tcPr>
            <w:tcW w:w="992"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Zarząd</w:t>
            </w:r>
            <w:proofErr w:type="spellEnd"/>
            <w:r w:rsidRPr="00BC5629">
              <w:rPr>
                <w:strike/>
                <w:color w:val="FF0000"/>
                <w:sz w:val="22"/>
                <w:szCs w:val="22"/>
              </w:rPr>
              <w:t xml:space="preserve"> </w:t>
            </w:r>
            <w:proofErr w:type="spellStart"/>
            <w:r w:rsidRPr="00BC5629">
              <w:rPr>
                <w:strike/>
                <w:color w:val="FF0000"/>
                <w:sz w:val="22"/>
                <w:szCs w:val="22"/>
              </w:rPr>
              <w:t>i</w:t>
            </w:r>
            <w:proofErr w:type="spellEnd"/>
            <w:r w:rsidRPr="00BC5629">
              <w:rPr>
                <w:strike/>
                <w:color w:val="FF0000"/>
                <w:sz w:val="22"/>
                <w:szCs w:val="22"/>
              </w:rPr>
              <w:t xml:space="preserve"> </w:t>
            </w:r>
            <w:proofErr w:type="spellStart"/>
            <w:r w:rsidRPr="00BC5629">
              <w:rPr>
                <w:strike/>
                <w:color w:val="FF0000"/>
                <w:sz w:val="22"/>
                <w:szCs w:val="22"/>
              </w:rPr>
              <w:t>pracownicy</w:t>
            </w:r>
            <w:proofErr w:type="spellEnd"/>
            <w:r w:rsidRPr="00BC5629">
              <w:rPr>
                <w:strike/>
                <w:color w:val="FF0000"/>
                <w:sz w:val="22"/>
                <w:szCs w:val="22"/>
              </w:rPr>
              <w:t xml:space="preserve"> LGD</w:t>
            </w:r>
          </w:p>
        </w:tc>
        <w:tc>
          <w:tcPr>
            <w:tcW w:w="3066"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Lokalna Strategia Rozwoju (analiza szczegółowych rozwiązań przyjętych w dokumencie strategicznym)</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Dokumentacja wytworzona w czasie konsultacji na etapie powstawania LSR</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Ogólnodostępne dane statystyczne</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Raporty, publikacje, dokumenty strategiczne dotyczące obszaru objętego LSR</w:t>
            </w:r>
          </w:p>
        </w:tc>
        <w:tc>
          <w:tcPr>
            <w:tcW w:w="1134"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Listopad</w:t>
            </w:r>
            <w:proofErr w:type="spellEnd"/>
            <w:r w:rsidRPr="00BC5629">
              <w:rPr>
                <w:strike/>
                <w:color w:val="FF0000"/>
                <w:sz w:val="22"/>
                <w:szCs w:val="22"/>
              </w:rPr>
              <w:t xml:space="preserve"> - </w:t>
            </w:r>
            <w:proofErr w:type="spellStart"/>
            <w:r w:rsidRPr="00BC5629">
              <w:rPr>
                <w:strike/>
                <w:color w:val="FF0000"/>
                <w:sz w:val="22"/>
                <w:szCs w:val="22"/>
              </w:rPr>
              <w:t>grudzień</w:t>
            </w:r>
            <w:proofErr w:type="spellEnd"/>
            <w:r w:rsidRPr="00BC5629">
              <w:rPr>
                <w:strike/>
                <w:color w:val="FF0000"/>
                <w:sz w:val="22"/>
                <w:szCs w:val="22"/>
              </w:rPr>
              <w:t xml:space="preserve"> 2016</w:t>
            </w:r>
          </w:p>
        </w:tc>
        <w:tc>
          <w:tcPr>
            <w:tcW w:w="362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Kompleksowa ocena procesu powstawania Lokalnej Strategii Rozwoju oraz zapisów dokumentu strategicznego.</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Oszacowanie wszystkich możliwych efektów wdrażania LSR</w:t>
            </w:r>
          </w:p>
        </w:tc>
      </w:tr>
      <w:tr w:rsidR="00BC5629" w:rsidRPr="00BC5629" w:rsidTr="001E7922">
        <w:trPr>
          <w:trHeight w:val="5416"/>
        </w:trPr>
        <w:tc>
          <w:tcPr>
            <w:tcW w:w="567" w:type="dxa"/>
          </w:tcPr>
          <w:p w:rsidR="00DF2F05" w:rsidRPr="00BC5629" w:rsidRDefault="00DF2F05" w:rsidP="00DF2F05">
            <w:pPr>
              <w:spacing w:after="200"/>
              <w:ind w:left="113" w:right="113"/>
              <w:jc w:val="center"/>
              <w:rPr>
                <w:strike/>
                <w:color w:val="FF0000"/>
                <w:sz w:val="22"/>
                <w:szCs w:val="22"/>
              </w:rPr>
            </w:pPr>
            <w:r w:rsidRPr="00BC5629">
              <w:rPr>
                <w:strike/>
                <w:color w:val="FF0000"/>
                <w:sz w:val="22"/>
                <w:szCs w:val="22"/>
              </w:rPr>
              <w:t>Mid-term</w:t>
            </w:r>
          </w:p>
        </w:tc>
        <w:tc>
          <w:tcPr>
            <w:tcW w:w="992"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Niezależni</w:t>
            </w:r>
            <w:proofErr w:type="spellEnd"/>
            <w:r w:rsidRPr="00BC5629">
              <w:rPr>
                <w:strike/>
                <w:color w:val="FF0000"/>
                <w:sz w:val="22"/>
                <w:szCs w:val="22"/>
              </w:rPr>
              <w:t xml:space="preserve"> </w:t>
            </w:r>
            <w:proofErr w:type="spellStart"/>
            <w:r w:rsidRPr="00BC5629">
              <w:rPr>
                <w:strike/>
                <w:color w:val="FF0000"/>
                <w:sz w:val="22"/>
                <w:szCs w:val="22"/>
              </w:rPr>
              <w:t>eksperci</w:t>
            </w:r>
            <w:proofErr w:type="spellEnd"/>
          </w:p>
        </w:tc>
        <w:tc>
          <w:tcPr>
            <w:tcW w:w="3066"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Analiza danych zastanych (źródła danych analogiczne do tych zastosowanych w czasie ewaluacji ex-</w:t>
            </w:r>
            <w:proofErr w:type="spellStart"/>
            <w:r w:rsidRPr="00BC5629">
              <w:rPr>
                <w:strike/>
                <w:color w:val="FF0000"/>
                <w:sz w:val="22"/>
                <w:szCs w:val="22"/>
                <w:lang w:val="pl-PL"/>
              </w:rPr>
              <w:t>ante</w:t>
            </w:r>
            <w:proofErr w:type="spellEnd"/>
            <w:r w:rsidRPr="00BC5629">
              <w:rPr>
                <w:strike/>
                <w:color w:val="FF0000"/>
                <w:sz w:val="22"/>
                <w:szCs w:val="22"/>
                <w:lang w:val="pl-PL"/>
              </w:rPr>
              <w:t>)</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Wywiady eksperckie</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Badanie ankietowe na reprezentatywnej próbie mieszkańców obszaru LGD</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Badanie ankietowe wnioskodawców</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Warsztaty ewaluacyjne</w:t>
            </w:r>
          </w:p>
        </w:tc>
        <w:tc>
          <w:tcPr>
            <w:tcW w:w="1134"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Listopad</w:t>
            </w:r>
            <w:proofErr w:type="spellEnd"/>
            <w:r w:rsidRPr="00BC5629">
              <w:rPr>
                <w:strike/>
                <w:color w:val="FF0000"/>
                <w:sz w:val="22"/>
                <w:szCs w:val="22"/>
              </w:rPr>
              <w:t xml:space="preserve"> - </w:t>
            </w:r>
            <w:proofErr w:type="spellStart"/>
            <w:r w:rsidRPr="00BC5629">
              <w:rPr>
                <w:strike/>
                <w:color w:val="FF0000"/>
                <w:sz w:val="22"/>
                <w:szCs w:val="22"/>
              </w:rPr>
              <w:t>grudzień</w:t>
            </w:r>
            <w:proofErr w:type="spellEnd"/>
            <w:r w:rsidRPr="00BC5629">
              <w:rPr>
                <w:strike/>
                <w:color w:val="FF0000"/>
                <w:sz w:val="22"/>
                <w:szCs w:val="22"/>
              </w:rPr>
              <w:t xml:space="preserve"> 2018</w:t>
            </w:r>
          </w:p>
        </w:tc>
        <w:tc>
          <w:tcPr>
            <w:tcW w:w="362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Włączenie mieszkańców w proces ewaluacji LSR.</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Kompleksowa ocena dokumentu strategicznego.</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Opisanie i ocena zmian w społeczności lokalnej osiągniętych dzięki wdrażaniu LSR.</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Identyfikacja ewentualnych istotnych zmian w społeczności lokalnej rodzących potrzebę zmian zapisów LSR.</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1E7922">
        <w:trPr>
          <w:trHeight w:val="4107"/>
        </w:trPr>
        <w:tc>
          <w:tcPr>
            <w:tcW w:w="567" w:type="dxa"/>
          </w:tcPr>
          <w:p w:rsidR="00DF2F05" w:rsidRPr="00BC5629" w:rsidRDefault="00DF2F05" w:rsidP="00DF2F05">
            <w:pPr>
              <w:spacing w:after="200"/>
              <w:ind w:left="113" w:right="113"/>
              <w:jc w:val="center"/>
              <w:rPr>
                <w:strike/>
                <w:color w:val="FF0000"/>
                <w:sz w:val="22"/>
                <w:szCs w:val="22"/>
              </w:rPr>
            </w:pPr>
            <w:r w:rsidRPr="00BC5629">
              <w:rPr>
                <w:strike/>
                <w:color w:val="FF0000"/>
                <w:sz w:val="22"/>
                <w:szCs w:val="22"/>
              </w:rPr>
              <w:t>Ex-post</w:t>
            </w:r>
          </w:p>
        </w:tc>
        <w:tc>
          <w:tcPr>
            <w:tcW w:w="992"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Niezależni</w:t>
            </w:r>
            <w:proofErr w:type="spellEnd"/>
            <w:r w:rsidRPr="00BC5629">
              <w:rPr>
                <w:strike/>
                <w:color w:val="FF0000"/>
                <w:sz w:val="22"/>
                <w:szCs w:val="22"/>
              </w:rPr>
              <w:t xml:space="preserve"> </w:t>
            </w:r>
            <w:proofErr w:type="spellStart"/>
            <w:r w:rsidRPr="00BC5629">
              <w:rPr>
                <w:strike/>
                <w:color w:val="FF0000"/>
                <w:sz w:val="22"/>
                <w:szCs w:val="22"/>
              </w:rPr>
              <w:t>eksperci</w:t>
            </w:r>
            <w:proofErr w:type="spellEnd"/>
          </w:p>
        </w:tc>
        <w:tc>
          <w:tcPr>
            <w:tcW w:w="3066"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Analiza danych zastanych (źródła danych analogiczne do tych zastosowanych w czasie ewaluacji ex-</w:t>
            </w:r>
            <w:proofErr w:type="spellStart"/>
            <w:r w:rsidRPr="00BC5629">
              <w:rPr>
                <w:strike/>
                <w:color w:val="FF0000"/>
                <w:sz w:val="22"/>
                <w:szCs w:val="22"/>
                <w:lang w:val="pl-PL"/>
              </w:rPr>
              <w:t>ante</w:t>
            </w:r>
            <w:proofErr w:type="spellEnd"/>
            <w:r w:rsidRPr="00BC5629">
              <w:rPr>
                <w:strike/>
                <w:color w:val="FF0000"/>
                <w:sz w:val="22"/>
                <w:szCs w:val="22"/>
                <w:lang w:val="pl-PL"/>
              </w:rPr>
              <w:t>)</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Wywiady eksperckie</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Badanie ankietowe na reprezentatywnej próbie mieszkańców obszaru LGD</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Badanie ankietowe wnioskodawców</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Warsztaty ewaluacyjne</w:t>
            </w:r>
          </w:p>
        </w:tc>
        <w:tc>
          <w:tcPr>
            <w:tcW w:w="1134" w:type="dxa"/>
          </w:tcPr>
          <w:p w:rsidR="00DF2F05" w:rsidRPr="00BC5629" w:rsidRDefault="00DF2F05" w:rsidP="00DF2F05">
            <w:pPr>
              <w:spacing w:after="200"/>
              <w:rPr>
                <w:strike/>
                <w:color w:val="FF0000"/>
                <w:sz w:val="22"/>
                <w:szCs w:val="22"/>
              </w:rPr>
            </w:pPr>
            <w:proofErr w:type="spellStart"/>
            <w:r w:rsidRPr="00BC5629">
              <w:rPr>
                <w:strike/>
                <w:color w:val="FF0000"/>
                <w:sz w:val="22"/>
                <w:szCs w:val="22"/>
              </w:rPr>
              <w:t>Listopad</w:t>
            </w:r>
            <w:proofErr w:type="spellEnd"/>
            <w:r w:rsidRPr="00BC5629">
              <w:rPr>
                <w:strike/>
                <w:color w:val="FF0000"/>
                <w:sz w:val="22"/>
                <w:szCs w:val="22"/>
              </w:rPr>
              <w:t xml:space="preserve"> - </w:t>
            </w:r>
            <w:proofErr w:type="spellStart"/>
            <w:r w:rsidRPr="00BC5629">
              <w:rPr>
                <w:strike/>
                <w:color w:val="FF0000"/>
                <w:sz w:val="22"/>
                <w:szCs w:val="22"/>
              </w:rPr>
              <w:t>grudzień</w:t>
            </w:r>
            <w:proofErr w:type="spellEnd"/>
            <w:r w:rsidRPr="00BC5629">
              <w:rPr>
                <w:strike/>
                <w:color w:val="FF0000"/>
                <w:sz w:val="22"/>
                <w:szCs w:val="22"/>
              </w:rPr>
              <w:t xml:space="preserve"> 2022</w:t>
            </w:r>
          </w:p>
        </w:tc>
        <w:tc>
          <w:tcPr>
            <w:tcW w:w="3623" w:type="dxa"/>
          </w:tcPr>
          <w:p w:rsidR="00DF2F05" w:rsidRPr="00BC5629" w:rsidRDefault="00DF2F05" w:rsidP="00DF2F05">
            <w:pPr>
              <w:spacing w:after="200"/>
              <w:rPr>
                <w:strike/>
                <w:color w:val="FF0000"/>
                <w:sz w:val="22"/>
                <w:szCs w:val="22"/>
                <w:lang w:val="pl-PL"/>
              </w:rPr>
            </w:pPr>
            <w:r w:rsidRPr="00BC5629">
              <w:rPr>
                <w:strike/>
                <w:color w:val="FF0000"/>
                <w:sz w:val="22"/>
                <w:szCs w:val="22"/>
                <w:lang w:val="pl-PL"/>
              </w:rPr>
              <w:t>Włączenie mieszkańców w proces ewaluacji LSR.</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Kompleksowa ocena dokumentu strategicznego.</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Ocena wszystkich aspektów funkcjonowania LGD oraz działań podjętych w ramach aktywizacji.</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Opisanie i ocena zmian w społeczności lokalnej osiągniętych dzięki wdrażaniu LSR.</w:t>
            </w:r>
          </w:p>
          <w:p w:rsidR="00DF2F05" w:rsidRPr="00BC5629" w:rsidRDefault="00DF2F05" w:rsidP="00DF2F05">
            <w:pPr>
              <w:spacing w:after="200"/>
              <w:rPr>
                <w:strike/>
                <w:color w:val="FF0000"/>
                <w:sz w:val="22"/>
                <w:szCs w:val="22"/>
                <w:lang w:val="pl-PL"/>
              </w:rPr>
            </w:pPr>
            <w:r w:rsidRPr="00BC5629">
              <w:rPr>
                <w:strike/>
                <w:color w:val="FF0000"/>
                <w:sz w:val="22"/>
                <w:szCs w:val="22"/>
                <w:lang w:val="pl-PL"/>
              </w:rPr>
              <w:t>Sformułowanie rekomendacji dotyczących przyszłego sposobu funkcjonowania LGD.</w:t>
            </w:r>
          </w:p>
        </w:tc>
      </w:tr>
    </w:tbl>
    <w:p w:rsidR="000D3040" w:rsidRDefault="000D3040" w:rsidP="00121A1E">
      <w:pPr>
        <w:rPr>
          <w:i/>
          <w:iCs/>
        </w:rPr>
      </w:pPr>
    </w:p>
    <w:p w:rsidR="00BC5629" w:rsidRPr="00BC5629" w:rsidRDefault="00BC5629" w:rsidP="00BC5629">
      <w:pPr>
        <w:keepNext/>
        <w:keepLines/>
        <w:spacing w:before="480" w:after="0"/>
        <w:outlineLvl w:val="0"/>
        <w:rPr>
          <w:rFonts w:ascii="Cambria" w:eastAsia="Times New Roman" w:hAnsi="Cambria" w:cs="Times New Roman"/>
          <w:b/>
          <w:bCs/>
          <w:color w:val="FF0000"/>
          <w:sz w:val="28"/>
          <w:szCs w:val="28"/>
          <w:lang w:eastAsia="pl-PL"/>
        </w:rPr>
      </w:pPr>
      <w:bookmarkStart w:id="57" w:name="_Toc439147390"/>
      <w:r w:rsidRPr="00BC5629">
        <w:rPr>
          <w:rFonts w:ascii="Cambria" w:eastAsia="Times New Roman" w:hAnsi="Cambria" w:cs="Times New Roman"/>
          <w:b/>
          <w:bCs/>
          <w:color w:val="FF0000"/>
          <w:sz w:val="28"/>
          <w:szCs w:val="28"/>
          <w:lang w:eastAsia="pl-PL"/>
        </w:rPr>
        <w:lastRenderedPageBreak/>
        <w:t>Załącznik Procedury dokonywania ewaluacji i monitoringu</w:t>
      </w:r>
      <w:bookmarkEnd w:id="57"/>
    </w:p>
    <w:p w:rsidR="00BC5629" w:rsidRPr="00BC5629" w:rsidRDefault="00BC5629" w:rsidP="00BC5629">
      <w:pPr>
        <w:keepNext/>
        <w:keepLines/>
        <w:spacing w:before="40" w:after="0"/>
        <w:outlineLvl w:val="1"/>
        <w:rPr>
          <w:rFonts w:ascii="Calibri Light" w:eastAsia="Times New Roman" w:hAnsi="Calibri Light" w:cs="Times New Roman"/>
          <w:color w:val="FF0000"/>
          <w:sz w:val="26"/>
          <w:szCs w:val="26"/>
          <w:lang w:eastAsia="pl-PL"/>
        </w:rPr>
      </w:pPr>
      <w:bookmarkStart w:id="58" w:name="_Toc439147391"/>
      <w:r w:rsidRPr="00BC5629">
        <w:rPr>
          <w:rFonts w:ascii="Calibri Light" w:eastAsia="Times New Roman" w:hAnsi="Calibri Light" w:cs="Times New Roman"/>
          <w:color w:val="FF0000"/>
          <w:sz w:val="26"/>
          <w:szCs w:val="26"/>
          <w:lang w:eastAsia="pl-PL"/>
        </w:rPr>
        <w:t>Procedura monitoringu</w:t>
      </w:r>
      <w:bookmarkEnd w:id="58"/>
    </w:p>
    <w:p w:rsidR="00BC5629" w:rsidRPr="00BC5629" w:rsidRDefault="00BC5629" w:rsidP="00BC5629">
      <w:pPr>
        <w:suppressAutoHyphens/>
        <w:autoSpaceDN w:val="0"/>
        <w:spacing w:after="140" w:line="240" w:lineRule="auto"/>
        <w:jc w:val="both"/>
        <w:textAlignment w:val="baseline"/>
        <w:rPr>
          <w:rFonts w:ascii="Calibri" w:eastAsia="Calibri" w:hAnsi="Calibri" w:cs="Calibri"/>
          <w:color w:val="FF0000"/>
          <w:kern w:val="3"/>
          <w:lang w:bidi="en-US"/>
        </w:rPr>
      </w:pPr>
      <w:r w:rsidRPr="00BC5629">
        <w:rPr>
          <w:rFonts w:ascii="Calibri" w:eastAsia="Calibri" w:hAnsi="Calibri" w:cs="Calibri"/>
          <w:color w:val="FF0000"/>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BC5629" w:rsidRPr="00BC5629"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Źródła danych</w:t>
            </w:r>
          </w:p>
        </w:tc>
      </w:tr>
      <w:tr w:rsidR="00BC5629" w:rsidRPr="00BC5629"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Realizacja szkoleń dla pracowników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Realizacja szkoleń dla organów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Efektywność doradztwa w biurze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Postępy w realizacji planu komunikacji,</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Liczba porad i charakter doradztwa świadczonego w biurze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Ocena świadczonego doradztwa</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Częstotliwość i regularność spotkań organów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Dane własne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Badania ankietowe:</w:t>
            </w:r>
          </w:p>
          <w:p w:rsidR="00BC5629" w:rsidRPr="00BC5629" w:rsidRDefault="00BC5629" w:rsidP="00EB5003">
            <w:pPr>
              <w:numPr>
                <w:ilvl w:val="1"/>
                <w:numId w:val="56"/>
              </w:numPr>
              <w:ind w:left="520" w:hanging="283"/>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osoby korzystające z doradztwa, </w:t>
            </w:r>
          </w:p>
          <w:p w:rsidR="00BC5629" w:rsidRPr="00BC5629" w:rsidRDefault="00BC5629" w:rsidP="00EB5003">
            <w:pPr>
              <w:numPr>
                <w:ilvl w:val="1"/>
                <w:numId w:val="56"/>
              </w:numPr>
              <w:ind w:left="520" w:hanging="283"/>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osoby uczestniczące w spotkaniach szkoleniach, imprezach organizowanych przez LGD</w:t>
            </w:r>
          </w:p>
          <w:p w:rsidR="00BC5629" w:rsidRPr="00BC5629" w:rsidRDefault="00BC5629" w:rsidP="00EB5003">
            <w:pPr>
              <w:numPr>
                <w:ilvl w:val="0"/>
                <w:numId w:val="56"/>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Spotkania informacyjno-konsultacyjne </w:t>
            </w:r>
          </w:p>
        </w:tc>
      </w:tr>
      <w:tr w:rsidR="00BC5629" w:rsidRPr="00BC5629"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Zgodność realizacji działań i naborów z harmonogram</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Dane własne LGD</w:t>
            </w:r>
          </w:p>
        </w:tc>
      </w:tr>
      <w:tr w:rsidR="00BC5629" w:rsidRPr="00BC5629"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Stopień osiągnięcia założonych wartości wskaźników (rezultatów i produktów)</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Realizacja działań skierowanych do grupy </w:t>
            </w:r>
            <w:proofErr w:type="spellStart"/>
            <w:r w:rsidRPr="00BC5629">
              <w:rPr>
                <w:rFonts w:ascii="Calibri" w:eastAsia="Calibri" w:hAnsi="Calibri" w:cs="Times New Roman"/>
                <w:color w:val="FF0000"/>
                <w:lang w:eastAsia="pl-PL"/>
              </w:rPr>
              <w:t>defarowyzowanej</w:t>
            </w:r>
            <w:proofErr w:type="spellEnd"/>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Ocena skuteczności stosowanych kryteriów wyboru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Dane własne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Ankieta monitorująca dla beneficjentów i grantobiorców</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Monitoring operacyjny</w:t>
            </w:r>
          </w:p>
        </w:tc>
      </w:tr>
      <w:tr w:rsidR="00BC5629" w:rsidRPr="00BC5629" w:rsidTr="00C03A59">
        <w:trPr>
          <w:trHeight w:val="136"/>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Realizacja projektów grantowych</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Postępy w realizacji operacji</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Adekwatność poniesionych kosztów w stosunku do zrealizowanych zadań</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Dokumentacja operacji</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Monitoring operacyjny</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Ankieta monitorująca dla beneficjentów i grantobiorców</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Dane własne LGD</w:t>
            </w:r>
          </w:p>
        </w:tc>
      </w:tr>
      <w:tr w:rsidR="00BC5629" w:rsidRPr="00BC5629" w:rsidTr="00C03A59">
        <w:trPr>
          <w:trHeight w:val="126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Budżet LGD</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Stopień wykorzystania funduszy</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Dane zebrane z prowadzonych konkursów</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Dane własne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Ankieta monitorująca dla beneficjentów i grantobiorców</w:t>
            </w:r>
          </w:p>
        </w:tc>
      </w:tr>
      <w:tr w:rsidR="00BC5629" w:rsidRPr="00BC5629"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BC5629">
            <w:p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Liczba i charakter działań promocyjnych podjętych przez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Liczba i charakter uczestnictwa w działaniach zewnętrznych wobec LGD (w tym wydarzeniach lokalnych i ponadlokalnych</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Realizacja wskaźników planu komunikacyjnego</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Efektywność działań komunikacyjnych</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Dane własne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Statystyki stron internetowych i kanałów w mediach społecznościowych oraz statystyki innych wykorzystywanych w planie komunikacyjnym narzędzi komunikacyjnych (np. ulotki, gazety, radio)</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Badania ankietowe osób uczestniczących w spotkaniach szkoleniach, imprezach organizowanych przez LGD</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Monitoring operacyjny</w:t>
            </w:r>
          </w:p>
          <w:p w:rsidR="00BC5629" w:rsidRPr="00BC5629" w:rsidRDefault="00BC5629" w:rsidP="00EB5003">
            <w:pPr>
              <w:numPr>
                <w:ilvl w:val="0"/>
                <w:numId w:val="56"/>
              </w:numPr>
              <w:spacing w:after="0" w:line="240" w:lineRule="auto"/>
              <w:rPr>
                <w:rFonts w:ascii="Calibri" w:eastAsia="Calibri" w:hAnsi="Calibri" w:cs="Times New Roman"/>
                <w:color w:val="FF0000"/>
                <w:lang w:eastAsia="pl-PL"/>
              </w:rPr>
            </w:pPr>
            <w:r w:rsidRPr="00BC5629">
              <w:rPr>
                <w:rFonts w:ascii="Calibri" w:eastAsia="Calibri" w:hAnsi="Calibri" w:cs="Times New Roman"/>
                <w:color w:val="FF0000"/>
                <w:lang w:eastAsia="pl-PL"/>
              </w:rPr>
              <w:t>Spotkania informacyjno-konsultacyjne</w:t>
            </w:r>
          </w:p>
        </w:tc>
      </w:tr>
    </w:tbl>
    <w:p w:rsidR="00BC5629" w:rsidRPr="00BC5629" w:rsidRDefault="00BC5629" w:rsidP="00BC5629">
      <w:pPr>
        <w:spacing w:line="240" w:lineRule="auto"/>
        <w:rPr>
          <w:rFonts w:ascii="Calibri" w:eastAsia="Calibri" w:hAnsi="Calibri" w:cs="Times New Roman"/>
          <w:color w:val="FF0000"/>
          <w:lang w:eastAsia="pl-PL"/>
        </w:rPr>
      </w:pPr>
    </w:p>
    <w:p w:rsidR="00BC5629" w:rsidRPr="00BC5629" w:rsidRDefault="00BC5629" w:rsidP="00BC5629">
      <w:pPr>
        <w:spacing w:line="240" w:lineRule="auto"/>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Charakterystyka źródeł danych oraz sposobów pomiaru i oceny danych:</w:t>
      </w:r>
    </w:p>
    <w:p w:rsidR="00BC5629" w:rsidRPr="00BC5629" w:rsidRDefault="00BC5629" w:rsidP="00BC5629">
      <w:pPr>
        <w:numPr>
          <w:ilvl w:val="0"/>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Dane własne LGD – dane gromadzone w toku normalnej działalności LGD, w szczególności w  ramach obowiązkowej sprawozdawczości realizowanej przez Stowarzyszenie. Dane własne obejmują:</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Wskaźniki planu komunikacji</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Dane ilościowe dotyczące doradztwa w biurze</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Dane gromadzone w trakcie naborów (m.in. terminy naborów, ilość złożonych wniosków, środki finansowe przypisane do naborów)</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Wskaźniki LSR i PROW</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Realizację budżetu LSR</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Dane dotyczące pracy organów LGD</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Informacje o szkoleniach dla pracowników i członków organów LGD.</w:t>
      </w:r>
    </w:p>
    <w:p w:rsidR="00BC5629" w:rsidRPr="00BC5629" w:rsidRDefault="00BC5629" w:rsidP="00BC5629">
      <w:pPr>
        <w:numPr>
          <w:ilvl w:val="0"/>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Badania własne:</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Ankieta monitorująca dla beneficjentów i grantobiorców – badanie pozwoli na zbieranie istotnych informacji dotyczących postępu rzeczowo-finansowego. Pozwoli także pogłębić informacje uzyskane z wniosków o dofinansowanie operacji, m.in. pozwoli na </w:t>
      </w:r>
      <w:proofErr w:type="spellStart"/>
      <w:r w:rsidRPr="00BC5629">
        <w:rPr>
          <w:rFonts w:ascii="Calibri" w:eastAsia="Calibri" w:hAnsi="Calibri" w:cs="Times New Roman"/>
          <w:color w:val="FF0000"/>
          <w:lang w:eastAsia="pl-PL"/>
        </w:rPr>
        <w:t>dezagregację</w:t>
      </w:r>
      <w:proofErr w:type="spellEnd"/>
      <w:r w:rsidRPr="00BC5629">
        <w:rPr>
          <w:rFonts w:ascii="Calibri" w:eastAsia="Calibri" w:hAnsi="Calibri" w:cs="Times New Roman"/>
          <w:color w:val="FF0000"/>
          <w:lang w:eastAsia="pl-PL"/>
        </w:rPr>
        <w:t xml:space="preserve"> obowiązkowych wskaźników PROW. Ankieta będzie wypełniana przez beneficjentów i grantobiorców raz, w roku, w którym rozliczyli oni operację.</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BC5629" w:rsidRDefault="00BC5629" w:rsidP="00BC5629">
      <w:pPr>
        <w:numPr>
          <w:ilvl w:val="1"/>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Badania ankietowe uczestników spotkań informacyjno-konsultacyjnych lub szkoleń organizowanych przez LGD – realizowane w czasie każdego tego typu wydarzenia zorganizowanego przez LGD.</w:t>
      </w:r>
    </w:p>
    <w:p w:rsidR="00BC5629" w:rsidRPr="00BC5629" w:rsidRDefault="00BC5629" w:rsidP="00BC5629">
      <w:pPr>
        <w:numPr>
          <w:ilvl w:val="0"/>
          <w:numId w:val="45"/>
        </w:numPr>
        <w:spacing w:line="240" w:lineRule="auto"/>
        <w:contextualSpacing/>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BC5629" w:rsidRDefault="00BC5629" w:rsidP="00BC5629">
      <w:pPr>
        <w:spacing w:line="240" w:lineRule="auto"/>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Dane zgromadzone za pomocą wymienionych powyżej technik będą przekazywane przez pracownika LGD wyspecjalizowanemu zewnętrznemu podmiotowi, który będzie na potrzeby LGD opracowywał coroczny raport z monitoringu. Dane będą przygotowywane i przekazywane według wytycznych sformułowanych przez ten podmiot zewnętrzny. Przygotowany przez niego w formie prezentacji raport z monitoringu zostanie wykorzystany do realizacji warsztatów refleksyjnych w ramach ewaluacji wewnętrznej (patrz „Procedura ewaluacji). </w:t>
      </w:r>
    </w:p>
    <w:p w:rsidR="00BC5629" w:rsidRPr="00BC5629" w:rsidRDefault="00BC5629" w:rsidP="00BC5629">
      <w:pPr>
        <w:spacing w:line="240" w:lineRule="auto"/>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BC5629" w:rsidRPr="00BC5629" w:rsidRDefault="00BC5629" w:rsidP="00BC5629">
      <w:pPr>
        <w:spacing w:line="240" w:lineRule="auto"/>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Raport z monitoringu dotyczący ostatniego zakończonego roku kalendarzowego będzie przygotowany w terminie do 20 stycznia następnego roku w każdym roku realizacji LSR. LGD będzie przekazywać zewnętrznemu wykonawcy raportu dane zebrane w ramach monitoringu w minionym roku kalendarzowym w terminie do 5 stycznia kolejnego roku kalendarzowego.</w:t>
      </w:r>
    </w:p>
    <w:p w:rsidR="00BC5629" w:rsidRPr="00BC5629" w:rsidRDefault="00BC5629" w:rsidP="00BC5629">
      <w:pPr>
        <w:keepNext/>
        <w:keepLines/>
        <w:spacing w:before="40" w:after="0" w:line="240" w:lineRule="auto"/>
        <w:jc w:val="both"/>
        <w:outlineLvl w:val="1"/>
        <w:rPr>
          <w:rFonts w:ascii="Calibri Light" w:eastAsia="Times New Roman" w:hAnsi="Calibri Light" w:cs="Times New Roman"/>
          <w:color w:val="FF0000"/>
          <w:sz w:val="26"/>
          <w:szCs w:val="26"/>
          <w:lang w:eastAsia="pl-PL"/>
        </w:rPr>
      </w:pPr>
      <w:bookmarkStart w:id="59" w:name="_Toc439147392"/>
      <w:r w:rsidRPr="00BC5629">
        <w:rPr>
          <w:rFonts w:ascii="Calibri Light" w:eastAsia="Times New Roman" w:hAnsi="Calibri Light" w:cs="Times New Roman"/>
          <w:color w:val="FF0000"/>
          <w:sz w:val="26"/>
          <w:szCs w:val="26"/>
          <w:lang w:eastAsia="pl-PL"/>
        </w:rPr>
        <w:t>Procedura ewaluacji</w:t>
      </w:r>
      <w:bookmarkEnd w:id="59"/>
    </w:p>
    <w:p w:rsidR="00BC5629" w:rsidRPr="00BC5629" w:rsidRDefault="00BC5629" w:rsidP="00BC5629">
      <w:pPr>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Procedura ewaluacji zakłada realizację kilku działań w różnych momentach wdrażania LSR: </w:t>
      </w:r>
    </w:p>
    <w:p w:rsidR="00BC5629" w:rsidRPr="00BC5629" w:rsidRDefault="00BC5629" w:rsidP="00EB5003">
      <w:pPr>
        <w:numPr>
          <w:ilvl w:val="0"/>
          <w:numId w:val="59"/>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ewaluacja ex-</w:t>
      </w:r>
      <w:proofErr w:type="spellStart"/>
      <w:r w:rsidRPr="00BC5629">
        <w:rPr>
          <w:rFonts w:ascii="Calibri" w:eastAsia="Calibri" w:hAnsi="Calibri" w:cs="Times New Roman"/>
          <w:color w:val="FF0000"/>
          <w:lang w:eastAsia="pl-PL"/>
        </w:rPr>
        <w:t>ante</w:t>
      </w:r>
      <w:proofErr w:type="spellEnd"/>
    </w:p>
    <w:p w:rsidR="00BC5629" w:rsidRPr="00BC5629" w:rsidRDefault="00BC5629" w:rsidP="00EB5003">
      <w:pPr>
        <w:numPr>
          <w:ilvl w:val="0"/>
          <w:numId w:val="59"/>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corocznej ewaluacji wewnętrznej (on-</w:t>
      </w:r>
      <w:proofErr w:type="spellStart"/>
      <w:r w:rsidRPr="00BC5629">
        <w:rPr>
          <w:rFonts w:ascii="Calibri" w:eastAsia="Calibri" w:hAnsi="Calibri" w:cs="Times New Roman"/>
          <w:color w:val="FF0000"/>
          <w:lang w:eastAsia="pl-PL"/>
        </w:rPr>
        <w:t>going</w:t>
      </w:r>
      <w:proofErr w:type="spellEnd"/>
      <w:r w:rsidRPr="00BC5629">
        <w:rPr>
          <w:rFonts w:ascii="Calibri" w:eastAsia="Calibri" w:hAnsi="Calibri" w:cs="Times New Roman"/>
          <w:color w:val="FF0000"/>
          <w:lang w:eastAsia="pl-PL"/>
        </w:rPr>
        <w:t xml:space="preserve">), </w:t>
      </w:r>
    </w:p>
    <w:p w:rsidR="00BC5629" w:rsidRPr="00BC5629" w:rsidRDefault="00BC5629" w:rsidP="00EB5003">
      <w:pPr>
        <w:numPr>
          <w:ilvl w:val="0"/>
          <w:numId w:val="59"/>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śródokresowej ewaluacji </w:t>
      </w:r>
      <w:proofErr w:type="spellStart"/>
      <w:r w:rsidRPr="00BC5629">
        <w:rPr>
          <w:rFonts w:ascii="Calibri" w:eastAsia="Calibri" w:hAnsi="Calibri" w:cs="Times New Roman"/>
          <w:color w:val="FF0000"/>
          <w:lang w:eastAsia="pl-PL"/>
        </w:rPr>
        <w:t>mid</w:t>
      </w:r>
      <w:proofErr w:type="spellEnd"/>
      <w:r w:rsidRPr="00BC5629">
        <w:rPr>
          <w:rFonts w:ascii="Calibri" w:eastAsia="Calibri" w:hAnsi="Calibri" w:cs="Times New Roman"/>
          <w:color w:val="FF0000"/>
          <w:lang w:eastAsia="pl-PL"/>
        </w:rPr>
        <w:t xml:space="preserve">-term, </w:t>
      </w:r>
    </w:p>
    <w:p w:rsidR="00BC5629" w:rsidRPr="00BC5629" w:rsidRDefault="00BC5629" w:rsidP="00EB5003">
      <w:pPr>
        <w:numPr>
          <w:ilvl w:val="0"/>
          <w:numId w:val="59"/>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końcowej ewaluacji zewnętrznej (ex-post).</w:t>
      </w:r>
    </w:p>
    <w:p w:rsidR="00BC5629" w:rsidRPr="00BC5629" w:rsidRDefault="00BC5629" w:rsidP="00BC5629">
      <w:pPr>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lastRenderedPageBreak/>
        <w:t>Coroczna ewaluacja wewnętrzna prowadzona będzie w ramach warsztatów refleksyjnych w ramach ewaluacji on-</w:t>
      </w:r>
      <w:proofErr w:type="spellStart"/>
      <w:r w:rsidRPr="00BC5629">
        <w:rPr>
          <w:rFonts w:ascii="Calibri" w:eastAsia="Calibri" w:hAnsi="Calibri" w:cs="Times New Roman"/>
          <w:color w:val="FF0000"/>
          <w:lang w:eastAsia="pl-PL"/>
        </w:rPr>
        <w:t>going</w:t>
      </w:r>
      <w:proofErr w:type="spellEnd"/>
      <w:r w:rsidRPr="00BC5629">
        <w:rPr>
          <w:rFonts w:ascii="Calibri" w:eastAsia="Calibri" w:hAnsi="Calibri" w:cs="Times New Roman"/>
          <w:color w:val="FF0000"/>
          <w:lang w:eastAsia="pl-PL"/>
        </w:rPr>
        <w:t xml:space="preserve">.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 czasie spotkań wykorzystany zostanie raport z monitoringu przygotowanych w formie prezentacji przez wyspecjalizowany podmiot zewnętrzny. </w:t>
      </w:r>
    </w:p>
    <w:p w:rsidR="00BC5629" w:rsidRPr="00BC5629" w:rsidRDefault="00BC5629" w:rsidP="00BC5629">
      <w:pPr>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Badania ewaluacyjne w ramach ewaluacji </w:t>
      </w:r>
      <w:proofErr w:type="spellStart"/>
      <w:r w:rsidRPr="00BC5629">
        <w:rPr>
          <w:rFonts w:ascii="Calibri" w:eastAsia="Calibri" w:hAnsi="Calibri" w:cs="Times New Roman"/>
          <w:color w:val="FF0000"/>
          <w:lang w:eastAsia="pl-PL"/>
        </w:rPr>
        <w:t>mid</w:t>
      </w:r>
      <w:proofErr w:type="spellEnd"/>
      <w:r w:rsidRPr="00BC5629">
        <w:rPr>
          <w:rFonts w:ascii="Calibri" w:eastAsia="Calibri" w:hAnsi="Calibri" w:cs="Times New Roman"/>
          <w:color w:val="FF0000"/>
          <w:lang w:eastAsia="pl-PL"/>
        </w:rPr>
        <w:t>-term i ewaluacji zewnętrznej pozwolą na ocenę funkcjonowania LGD i realizacji LSR z uwzględnieniem kryteriów ewaluacyjnych. Przyjęte kryteria ewaluacyjne zdefiniowane zostały w sposób następujący:</w:t>
      </w:r>
    </w:p>
    <w:p w:rsidR="00BC5629" w:rsidRPr="00BC5629" w:rsidRDefault="00BC5629" w:rsidP="00EB5003">
      <w:pPr>
        <w:numPr>
          <w:ilvl w:val="0"/>
          <w:numId w:val="58"/>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Trafność: stopień, w jakim przyjęte cele, przedsięwzięcia i sposób funkcjonowania LGD odpowiadają zidentyfikowanym problemom w obszarze objętym realizacją LSR i realnym potrzebom odbiorców działań</w:t>
      </w:r>
    </w:p>
    <w:p w:rsidR="00BC5629" w:rsidRPr="00BC5629" w:rsidRDefault="00BC5629" w:rsidP="00EB5003">
      <w:pPr>
        <w:numPr>
          <w:ilvl w:val="0"/>
          <w:numId w:val="58"/>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Spójność: stopień spójności LSR z innymi dokumentami programowymi i strategiami obejmującymi obszar realizacji LSR</w:t>
      </w:r>
    </w:p>
    <w:p w:rsidR="00BC5629" w:rsidRPr="00BC5629" w:rsidRDefault="00BC5629" w:rsidP="00EB5003">
      <w:pPr>
        <w:numPr>
          <w:ilvl w:val="0"/>
          <w:numId w:val="58"/>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Efektywność: stosunek poniesionych nakładów (zasobów finansowych, ludzkich, czasu) do uzyskanych wyników i rezultatów</w:t>
      </w:r>
    </w:p>
    <w:p w:rsidR="00BC5629" w:rsidRPr="00BC5629" w:rsidRDefault="00BC5629" w:rsidP="00EB5003">
      <w:pPr>
        <w:numPr>
          <w:ilvl w:val="0"/>
          <w:numId w:val="58"/>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Skuteczność: stopień osiągnięcia zdefiniowanych celów i przedsięwzięć</w:t>
      </w:r>
    </w:p>
    <w:p w:rsidR="00BC5629" w:rsidRPr="00BC5629" w:rsidRDefault="00BC5629" w:rsidP="00EB5003">
      <w:pPr>
        <w:numPr>
          <w:ilvl w:val="0"/>
          <w:numId w:val="58"/>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Użyteczność: stopień zaspokojenia potrzeb odbiorców działań w wyniku osiągnięcia rezultatów operacji</w:t>
      </w:r>
    </w:p>
    <w:p w:rsidR="00BC5629" w:rsidRPr="00BC5629" w:rsidRDefault="00BC5629" w:rsidP="00EB5003">
      <w:pPr>
        <w:numPr>
          <w:ilvl w:val="0"/>
          <w:numId w:val="58"/>
        </w:numPr>
        <w:contextualSpacing/>
        <w:rPr>
          <w:rFonts w:ascii="Calibri" w:eastAsia="Calibri" w:hAnsi="Calibri" w:cs="Times New Roman"/>
          <w:color w:val="FF0000"/>
          <w:lang w:eastAsia="pl-PL"/>
        </w:rPr>
      </w:pPr>
      <w:r w:rsidRPr="00BC5629">
        <w:rPr>
          <w:rFonts w:ascii="Calibri" w:eastAsia="Calibri" w:hAnsi="Calibri" w:cs="Times New Roman"/>
          <w:color w:val="FF0000"/>
          <w:lang w:eastAsia="pl-PL"/>
        </w:rPr>
        <w:t>Trwałość: ocena możliwości i stopnia utrzymania się efektów i wpływu działań po zakończeniu ich realizacji.</w:t>
      </w:r>
    </w:p>
    <w:p w:rsidR="00BC5629" w:rsidRPr="00BC5629" w:rsidRDefault="00BC5629" w:rsidP="00BC5629">
      <w:pPr>
        <w:spacing w:line="240" w:lineRule="auto"/>
        <w:jc w:val="both"/>
        <w:rPr>
          <w:rFonts w:ascii="Calibri" w:eastAsia="Calibri" w:hAnsi="Calibri" w:cs="Times New Roman"/>
          <w:color w:val="FF0000"/>
          <w:lang w:eastAsia="pl-PL"/>
        </w:rPr>
      </w:pPr>
      <w:r w:rsidRPr="00BC5629">
        <w:rPr>
          <w:rFonts w:ascii="Calibri" w:eastAsia="Calibri" w:hAnsi="Calibri" w:cs="Times New Roman"/>
          <w:color w:val="FF0000"/>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w:t>
      </w:r>
      <w:proofErr w:type="spellStart"/>
      <w:r w:rsidRPr="00BC5629">
        <w:rPr>
          <w:rFonts w:ascii="Calibri" w:eastAsia="Calibri" w:hAnsi="Calibri" w:cs="Times New Roman"/>
          <w:color w:val="FF0000"/>
          <w:lang w:eastAsia="pl-PL"/>
        </w:rPr>
        <w:t>ante</w:t>
      </w:r>
      <w:proofErr w:type="spellEnd"/>
      <w:r w:rsidRPr="00BC5629">
        <w:rPr>
          <w:rFonts w:ascii="Calibri" w:eastAsia="Calibri" w:hAnsi="Calibri" w:cs="Times New Roman"/>
          <w:color w:val="FF0000"/>
          <w:lang w:eastAsia="pl-PL"/>
        </w:rPr>
        <w:t xml:space="preserve">, </w:t>
      </w:r>
      <w:proofErr w:type="spellStart"/>
      <w:r w:rsidRPr="00BC5629">
        <w:rPr>
          <w:rFonts w:ascii="Calibri" w:eastAsia="Calibri" w:hAnsi="Calibri" w:cs="Times New Roman"/>
          <w:color w:val="FF0000"/>
          <w:lang w:eastAsia="pl-PL"/>
        </w:rPr>
        <w:t>mid</w:t>
      </w:r>
      <w:proofErr w:type="spellEnd"/>
      <w:r w:rsidRPr="00BC5629">
        <w:rPr>
          <w:rFonts w:ascii="Calibri" w:eastAsia="Calibri" w:hAnsi="Calibri" w:cs="Times New Roman"/>
          <w:color w:val="FF0000"/>
          <w:lang w:eastAsia="pl-PL"/>
        </w:rPr>
        <w:t xml:space="preserve">-term oraz ex-post (zewnętrznej). Pytania badawcze i obszary badania są również powiązane z zaplanowanymi technikami badawczymi, które zostaną scharakteryzowane pod tabelą. </w:t>
      </w:r>
    </w:p>
    <w:tbl>
      <w:tblPr>
        <w:tblStyle w:val="Tabela-Siatka3"/>
        <w:tblW w:w="0" w:type="auto"/>
        <w:jc w:val="center"/>
        <w:tblLook w:val="04A0" w:firstRow="1" w:lastRow="0" w:firstColumn="1" w:lastColumn="0" w:noHBand="0" w:noVBand="1"/>
      </w:tblPr>
      <w:tblGrid>
        <w:gridCol w:w="1672"/>
        <w:gridCol w:w="7578"/>
      </w:tblGrid>
      <w:tr w:rsidR="00BC5629" w:rsidRPr="00BC5629" w:rsidTr="00C03A59">
        <w:trPr>
          <w:trHeight w:val="966"/>
          <w:jc w:val="center"/>
        </w:trPr>
        <w:tc>
          <w:tcPr>
            <w:tcW w:w="1484" w:type="dxa"/>
          </w:tcPr>
          <w:p w:rsidR="00BC5629" w:rsidRPr="00BC5629" w:rsidRDefault="00BC5629" w:rsidP="00BC5629">
            <w:pPr>
              <w:rPr>
                <w:b/>
                <w:color w:val="FF0000"/>
              </w:rPr>
            </w:pPr>
            <w:r w:rsidRPr="00BC5629">
              <w:rPr>
                <w:b/>
                <w:color w:val="FF0000"/>
              </w:rPr>
              <w:t>Ewaluacja i podmiot wykonujący</w:t>
            </w:r>
          </w:p>
        </w:tc>
        <w:tc>
          <w:tcPr>
            <w:tcW w:w="7578" w:type="dxa"/>
          </w:tcPr>
          <w:p w:rsidR="00BC5629" w:rsidRPr="00BC5629" w:rsidRDefault="00BC5629" w:rsidP="00BC5629">
            <w:pPr>
              <w:rPr>
                <w:b/>
                <w:color w:val="FF0000"/>
              </w:rPr>
            </w:pPr>
            <w:r w:rsidRPr="00BC5629">
              <w:rPr>
                <w:b/>
                <w:color w:val="FF0000"/>
              </w:rPr>
              <w:t>Kryteria ewaluacyjne i główne pytania badawcze</w:t>
            </w:r>
          </w:p>
        </w:tc>
      </w:tr>
      <w:tr w:rsidR="00BC5629" w:rsidRPr="00BC5629" w:rsidTr="00C03A59">
        <w:trPr>
          <w:trHeight w:val="3398"/>
          <w:jc w:val="center"/>
        </w:trPr>
        <w:tc>
          <w:tcPr>
            <w:tcW w:w="1484" w:type="dxa"/>
          </w:tcPr>
          <w:p w:rsidR="00BC5629" w:rsidRPr="00BC5629" w:rsidRDefault="00BC5629" w:rsidP="00BC5629">
            <w:pPr>
              <w:rPr>
                <w:color w:val="FF0000"/>
              </w:rPr>
            </w:pPr>
            <w:r w:rsidRPr="00BC5629">
              <w:rPr>
                <w:color w:val="FF0000"/>
              </w:rPr>
              <w:t>Ewaluacja ex-</w:t>
            </w:r>
            <w:proofErr w:type="spellStart"/>
            <w:r w:rsidRPr="00BC5629">
              <w:rPr>
                <w:color w:val="FF0000"/>
              </w:rPr>
              <w:t>ante</w:t>
            </w:r>
            <w:proofErr w:type="spellEnd"/>
            <w:r w:rsidRPr="00BC5629">
              <w:rPr>
                <w:color w:val="FF0000"/>
              </w:rPr>
              <w:t xml:space="preserve"> – pracownicy i zarząd LGD (ocena własna)</w:t>
            </w:r>
          </w:p>
        </w:tc>
        <w:tc>
          <w:tcPr>
            <w:tcW w:w="7578" w:type="dxa"/>
          </w:tcPr>
          <w:p w:rsidR="00BC5629" w:rsidRPr="00BC5629" w:rsidRDefault="00BC5629" w:rsidP="00BC5629">
            <w:pPr>
              <w:rPr>
                <w:b/>
                <w:color w:val="FF0000"/>
              </w:rPr>
            </w:pPr>
            <w:r w:rsidRPr="00BC5629">
              <w:rPr>
                <w:b/>
                <w:color w:val="FF0000"/>
              </w:rPr>
              <w:t>Trafność</w:t>
            </w:r>
          </w:p>
          <w:p w:rsidR="00BC5629" w:rsidRPr="00BC5629" w:rsidRDefault="00BC5629" w:rsidP="00BC5629">
            <w:pPr>
              <w:rPr>
                <w:color w:val="FF0000"/>
              </w:rPr>
            </w:pPr>
            <w:r w:rsidRPr="00BC5629">
              <w:rPr>
                <w:color w:val="FF0000"/>
              </w:rPr>
              <w:t>Jakie idee przyświecały wyborowi celów? Czy przyjęte założenia były poparte rzetelną diagnozą?</w:t>
            </w:r>
          </w:p>
          <w:p w:rsidR="00BC5629" w:rsidRPr="00BC5629" w:rsidRDefault="00BC5629" w:rsidP="00BC5629">
            <w:pPr>
              <w:rPr>
                <w:color w:val="FF0000"/>
              </w:rPr>
            </w:pPr>
            <w:r w:rsidRPr="00BC5629">
              <w:rPr>
                <w:color w:val="FF0000"/>
              </w:rPr>
              <w:t>W jakim stopniu uwzględniono głos społeczności lokalnej przy wyborze celów?</w:t>
            </w:r>
          </w:p>
          <w:p w:rsidR="00BC5629" w:rsidRPr="00BC5629" w:rsidRDefault="00BC5629" w:rsidP="00BC5629">
            <w:pPr>
              <w:rPr>
                <w:color w:val="FF0000"/>
              </w:rPr>
            </w:pPr>
            <w:r w:rsidRPr="00BC5629">
              <w:rPr>
                <w:color w:val="FF0000"/>
              </w:rPr>
              <w:t>Ocena powiązania celów LSR z celami szczegółowymi PROW.</w:t>
            </w:r>
          </w:p>
          <w:p w:rsidR="00BC5629" w:rsidRPr="00BC5629" w:rsidRDefault="00BC5629" w:rsidP="00BC5629">
            <w:pPr>
              <w:rPr>
                <w:color w:val="FF0000"/>
              </w:rPr>
            </w:pPr>
            <w:r w:rsidRPr="00BC5629">
              <w:rPr>
                <w:color w:val="FF0000"/>
              </w:rPr>
              <w:t>Ocena przyjętych rozwiązań w zakresie funkcjonowania LGD, w tym świadczonego doradztwa i aktywizacji społeczności, pod względem:</w:t>
            </w:r>
          </w:p>
          <w:p w:rsidR="00BC5629" w:rsidRPr="00BC5629" w:rsidRDefault="00BC5629" w:rsidP="00EB5003">
            <w:pPr>
              <w:numPr>
                <w:ilvl w:val="0"/>
                <w:numId w:val="57"/>
              </w:numPr>
              <w:suppressAutoHyphens/>
              <w:autoSpaceDN w:val="0"/>
              <w:textAlignment w:val="baseline"/>
              <w:rPr>
                <w:color w:val="FF0000"/>
              </w:rPr>
            </w:pPr>
            <w:r w:rsidRPr="00BC5629">
              <w:rPr>
                <w:color w:val="FF0000"/>
              </w:rPr>
              <w:t xml:space="preserve">jego zgodności z zasadami realizacji RLKS </w:t>
            </w:r>
          </w:p>
          <w:p w:rsidR="00BC5629" w:rsidRPr="00BC5629" w:rsidRDefault="00BC5629" w:rsidP="00EB5003">
            <w:pPr>
              <w:numPr>
                <w:ilvl w:val="0"/>
                <w:numId w:val="57"/>
              </w:numPr>
              <w:suppressAutoHyphens/>
              <w:autoSpaceDN w:val="0"/>
              <w:textAlignment w:val="baseline"/>
              <w:rPr>
                <w:color w:val="FF0000"/>
              </w:rPr>
            </w:pPr>
            <w:r w:rsidRPr="00BC5629">
              <w:rPr>
                <w:color w:val="FF0000"/>
              </w:rPr>
              <w:t>oczekiwań mieszkańców obszaru LGD.</w:t>
            </w:r>
            <w:r w:rsidRPr="00BC5629">
              <w:rPr>
                <w:color w:val="FF0000"/>
              </w:rPr>
              <w:tab/>
            </w:r>
          </w:p>
          <w:p w:rsidR="00BC5629" w:rsidRPr="00BC5629" w:rsidRDefault="00BC5629" w:rsidP="00BC5629">
            <w:pPr>
              <w:rPr>
                <w:b/>
                <w:color w:val="FF0000"/>
              </w:rPr>
            </w:pPr>
            <w:r w:rsidRPr="00BC5629">
              <w:rPr>
                <w:b/>
                <w:color w:val="FF0000"/>
              </w:rPr>
              <w:t>Spójność</w:t>
            </w:r>
          </w:p>
          <w:p w:rsidR="00BC5629" w:rsidRPr="00BC5629" w:rsidRDefault="00BC5629" w:rsidP="00BC5629">
            <w:pPr>
              <w:rPr>
                <w:color w:val="FF0000"/>
              </w:rPr>
            </w:pPr>
            <w:r w:rsidRPr="00BC5629">
              <w:rPr>
                <w:color w:val="FF0000"/>
              </w:rPr>
              <w:t>Ocena spójności LSR i planowanych działań z innymi strategiami i programami obejmującymi obszar realizacji LSR</w:t>
            </w:r>
          </w:p>
        </w:tc>
      </w:tr>
      <w:tr w:rsidR="00BC5629" w:rsidRPr="00BC5629" w:rsidTr="00C03A59">
        <w:trPr>
          <w:cantSplit/>
          <w:trHeight w:val="234"/>
          <w:jc w:val="center"/>
        </w:trPr>
        <w:tc>
          <w:tcPr>
            <w:tcW w:w="1484" w:type="dxa"/>
          </w:tcPr>
          <w:p w:rsidR="00BC5629" w:rsidRPr="00BC5629" w:rsidRDefault="00BC5629" w:rsidP="00BC5629">
            <w:pPr>
              <w:rPr>
                <w:color w:val="FF0000"/>
              </w:rPr>
            </w:pPr>
            <w:r w:rsidRPr="00BC5629">
              <w:rPr>
                <w:color w:val="FF0000"/>
              </w:rPr>
              <w:lastRenderedPageBreak/>
              <w:t xml:space="preserve">Ewaluacja </w:t>
            </w:r>
            <w:proofErr w:type="spellStart"/>
            <w:r w:rsidRPr="00BC5629">
              <w:rPr>
                <w:color w:val="FF0000"/>
              </w:rPr>
              <w:t>mid</w:t>
            </w:r>
            <w:proofErr w:type="spellEnd"/>
            <w:r w:rsidRPr="00BC5629">
              <w:rPr>
                <w:color w:val="FF0000"/>
              </w:rPr>
              <w:t>-term – hybrydowa, realizowana we współpracy z zewnętrznymi ekspertami</w:t>
            </w:r>
          </w:p>
        </w:tc>
        <w:tc>
          <w:tcPr>
            <w:tcW w:w="7578" w:type="dxa"/>
          </w:tcPr>
          <w:p w:rsidR="00BC5629" w:rsidRPr="00BC5629" w:rsidRDefault="00BC5629" w:rsidP="00BC5629">
            <w:pPr>
              <w:rPr>
                <w:b/>
                <w:color w:val="FF0000"/>
              </w:rPr>
            </w:pPr>
            <w:r w:rsidRPr="00BC5629">
              <w:rPr>
                <w:b/>
                <w:color w:val="FF0000"/>
              </w:rPr>
              <w:t xml:space="preserve">Trafność </w:t>
            </w:r>
          </w:p>
          <w:p w:rsidR="00BC5629" w:rsidRPr="00BC5629" w:rsidRDefault="00BC5629" w:rsidP="00BC5629">
            <w:pPr>
              <w:rPr>
                <w:color w:val="FF0000"/>
              </w:rPr>
            </w:pPr>
            <w:r w:rsidRPr="00BC5629">
              <w:rPr>
                <w:color w:val="FF0000"/>
              </w:rPr>
              <w:t>Czy w społeczności nie zaszły jakieś istotne zmiany, które mają wpływ na obniżenie poziomu trafności LSR?</w:t>
            </w:r>
          </w:p>
          <w:p w:rsidR="00BC5629" w:rsidRPr="00BC5629" w:rsidRDefault="00BC5629" w:rsidP="00BC5629">
            <w:pPr>
              <w:rPr>
                <w:b/>
                <w:color w:val="FF0000"/>
              </w:rPr>
            </w:pPr>
            <w:r w:rsidRPr="00BC5629">
              <w:rPr>
                <w:b/>
                <w:color w:val="FF0000"/>
              </w:rPr>
              <w:t>Efektywność</w:t>
            </w:r>
          </w:p>
          <w:p w:rsidR="00BC5629" w:rsidRPr="00BC5629" w:rsidRDefault="00BC5629" w:rsidP="00BC5629">
            <w:pPr>
              <w:rPr>
                <w:color w:val="FF0000"/>
              </w:rPr>
            </w:pPr>
            <w:r w:rsidRPr="00BC5629">
              <w:rPr>
                <w:color w:val="FF0000"/>
              </w:rPr>
              <w:t>Czy osiągnięte efekty rzeczywiście były wynikiem realizacji przedsięwzięć w ramach wdrażania LSR?</w:t>
            </w:r>
          </w:p>
          <w:p w:rsidR="00BC5629" w:rsidRPr="00BC5629" w:rsidRDefault="00BC5629" w:rsidP="00BC5629">
            <w:pPr>
              <w:rPr>
                <w:color w:val="FF0000"/>
              </w:rPr>
            </w:pPr>
            <w:r w:rsidRPr="00BC5629">
              <w:rPr>
                <w:color w:val="FF0000"/>
              </w:rPr>
              <w:t>Określenie stopnia prawdopodobieństwa, że obserwowane rezultaty mogłyby pojawić się pomimo braku interwencji.</w:t>
            </w:r>
          </w:p>
          <w:p w:rsidR="00BC5629" w:rsidRPr="00BC5629" w:rsidRDefault="00BC5629" w:rsidP="00BC5629">
            <w:pPr>
              <w:rPr>
                <w:color w:val="FF0000"/>
              </w:rPr>
            </w:pPr>
            <w:r w:rsidRPr="00BC5629">
              <w:rPr>
                <w:color w:val="FF0000"/>
              </w:rPr>
              <w:t xml:space="preserve">Jaki jest stosunek poniesionych nakładów w stosunku do uzyskanych rezultatów. </w:t>
            </w:r>
          </w:p>
          <w:p w:rsidR="00BC5629" w:rsidRPr="00BC5629" w:rsidRDefault="00BC5629" w:rsidP="00BC5629">
            <w:pPr>
              <w:rPr>
                <w:b/>
                <w:color w:val="FF0000"/>
              </w:rPr>
            </w:pPr>
            <w:r w:rsidRPr="00BC5629">
              <w:rPr>
                <w:b/>
                <w:color w:val="FF0000"/>
              </w:rPr>
              <w:t>Skuteczność</w:t>
            </w:r>
          </w:p>
          <w:p w:rsidR="00BC5629" w:rsidRPr="00BC5629" w:rsidRDefault="00BC5629" w:rsidP="00BC5629">
            <w:pPr>
              <w:rPr>
                <w:color w:val="FF0000"/>
              </w:rPr>
            </w:pPr>
            <w:r w:rsidRPr="00BC5629">
              <w:rPr>
                <w:color w:val="FF0000"/>
              </w:rPr>
              <w:t>Jaki jest poziom realizacji wskaźników produktu i rezultatu?</w:t>
            </w:r>
          </w:p>
          <w:p w:rsidR="00BC5629" w:rsidRPr="00BC5629" w:rsidRDefault="00BC5629" w:rsidP="00BC5629">
            <w:pPr>
              <w:rPr>
                <w:color w:val="FF0000"/>
              </w:rPr>
            </w:pPr>
            <w:r w:rsidRPr="00BC5629">
              <w:rPr>
                <w:color w:val="FF0000"/>
              </w:rPr>
              <w:t>Ocena stopnia realizacji harmonogramu i budżetu wdrażania LSR.</w:t>
            </w:r>
          </w:p>
          <w:p w:rsidR="00BC5629" w:rsidRPr="00BC5629" w:rsidRDefault="00BC5629" w:rsidP="00BC5629">
            <w:pPr>
              <w:rPr>
                <w:b/>
                <w:color w:val="FF0000"/>
              </w:rPr>
            </w:pPr>
            <w:r w:rsidRPr="00BC5629">
              <w:rPr>
                <w:b/>
                <w:color w:val="FF0000"/>
              </w:rPr>
              <w:t>Użyteczność</w:t>
            </w:r>
          </w:p>
          <w:p w:rsidR="00BC5629" w:rsidRPr="00BC5629" w:rsidRDefault="00BC5629" w:rsidP="00BC5629">
            <w:pPr>
              <w:rPr>
                <w:color w:val="FF0000"/>
              </w:rPr>
            </w:pPr>
            <w:r w:rsidRPr="00BC5629">
              <w:rPr>
                <w:color w:val="FF0000"/>
              </w:rPr>
              <w:t>W jakim stopniu potrzeby beneficjentów zostały zaspokojone dzięki realizacji operacji?</w:t>
            </w:r>
          </w:p>
          <w:p w:rsidR="00BC5629" w:rsidRPr="00BC5629" w:rsidRDefault="00BC5629" w:rsidP="00BC5629">
            <w:pPr>
              <w:rPr>
                <w:color w:val="FF0000"/>
              </w:rPr>
            </w:pPr>
            <w:r w:rsidRPr="00BC5629">
              <w:rPr>
                <w:color w:val="FF0000"/>
              </w:rPr>
              <w:t>Jakie są nieplanowane efekty wdrażania LSR?</w:t>
            </w:r>
          </w:p>
          <w:p w:rsidR="00BC5629" w:rsidRPr="00BC5629" w:rsidRDefault="00BC5629" w:rsidP="00BC5629">
            <w:pPr>
              <w:rPr>
                <w:b/>
                <w:color w:val="FF0000"/>
              </w:rPr>
            </w:pPr>
            <w:r w:rsidRPr="00BC5629">
              <w:rPr>
                <w:b/>
                <w:color w:val="FF0000"/>
              </w:rPr>
              <w:t>Komplementarność</w:t>
            </w:r>
          </w:p>
          <w:p w:rsidR="00BC5629" w:rsidRPr="00BC5629" w:rsidRDefault="00BC5629" w:rsidP="00BC5629">
            <w:pPr>
              <w:rPr>
                <w:color w:val="FF0000"/>
              </w:rPr>
            </w:pPr>
            <w:r w:rsidRPr="00BC5629">
              <w:rPr>
                <w:color w:val="FF0000"/>
              </w:rPr>
              <w:t>Czy realizowane działania uzupełniają się z innymi programami obejmującymi obszar LGD?</w:t>
            </w:r>
          </w:p>
          <w:p w:rsidR="00BC5629" w:rsidRPr="00BC5629" w:rsidRDefault="00BC5629" w:rsidP="00BC5629">
            <w:pPr>
              <w:rPr>
                <w:b/>
                <w:color w:val="FF0000"/>
              </w:rPr>
            </w:pPr>
            <w:r w:rsidRPr="00BC5629">
              <w:rPr>
                <w:b/>
                <w:color w:val="FF0000"/>
              </w:rPr>
              <w:t>Trwałość</w:t>
            </w:r>
          </w:p>
          <w:p w:rsidR="00BC5629" w:rsidRPr="00BC5629" w:rsidRDefault="00BC5629" w:rsidP="00BC5629">
            <w:pPr>
              <w:rPr>
                <w:color w:val="FF0000"/>
              </w:rPr>
            </w:pPr>
            <w:r w:rsidRPr="00BC5629">
              <w:rPr>
                <w:color w:val="FF0000"/>
              </w:rPr>
              <w:t>Czy realizowane operacje mają potencjał wywołania trwałych zmian?</w:t>
            </w:r>
          </w:p>
        </w:tc>
      </w:tr>
      <w:tr w:rsidR="00BC5629" w:rsidRPr="00BC5629" w:rsidTr="00C03A59">
        <w:trPr>
          <w:trHeight w:val="140"/>
          <w:jc w:val="center"/>
        </w:trPr>
        <w:tc>
          <w:tcPr>
            <w:tcW w:w="1484" w:type="dxa"/>
          </w:tcPr>
          <w:p w:rsidR="00BC5629" w:rsidRPr="00BC5629" w:rsidRDefault="00BC5629" w:rsidP="00BC5629">
            <w:pPr>
              <w:rPr>
                <w:color w:val="FF0000"/>
              </w:rPr>
            </w:pPr>
            <w:r w:rsidRPr="00BC5629">
              <w:rPr>
                <w:color w:val="FF0000"/>
              </w:rPr>
              <w:t>Ewaluacja ex-post – zewnętrzna (realizowana przez wyspecjalizowany podmiot we współpracy z LGD)</w:t>
            </w:r>
          </w:p>
        </w:tc>
        <w:tc>
          <w:tcPr>
            <w:tcW w:w="7578" w:type="dxa"/>
          </w:tcPr>
          <w:p w:rsidR="00BC5629" w:rsidRPr="00BC5629" w:rsidRDefault="00BC5629" w:rsidP="00BC5629">
            <w:pPr>
              <w:rPr>
                <w:color w:val="FF0000"/>
              </w:rPr>
            </w:pPr>
            <w:r w:rsidRPr="00BC5629">
              <w:rPr>
                <w:b/>
                <w:color w:val="FF0000"/>
              </w:rPr>
              <w:t>Efektywność, skuteczność, użyteczność</w:t>
            </w:r>
            <w:r w:rsidRPr="00BC5629">
              <w:rPr>
                <w:color w:val="FF0000"/>
              </w:rPr>
              <w:t xml:space="preserve"> (pytania badawcze dla kryteriów – jak powyżej).</w:t>
            </w:r>
          </w:p>
          <w:p w:rsidR="00BC5629" w:rsidRPr="00BC5629" w:rsidRDefault="00BC5629" w:rsidP="00BC5629">
            <w:pPr>
              <w:rPr>
                <w:b/>
                <w:color w:val="FF0000"/>
              </w:rPr>
            </w:pPr>
            <w:r w:rsidRPr="00BC5629">
              <w:rPr>
                <w:b/>
                <w:color w:val="FF0000"/>
              </w:rPr>
              <w:t>Komplementarność</w:t>
            </w:r>
          </w:p>
          <w:p w:rsidR="00BC5629" w:rsidRPr="00BC5629" w:rsidRDefault="00BC5629" w:rsidP="00BC5629">
            <w:pPr>
              <w:rPr>
                <w:color w:val="FF0000"/>
              </w:rPr>
            </w:pPr>
            <w:r w:rsidRPr="00BC5629">
              <w:rPr>
                <w:color w:val="FF0000"/>
              </w:rPr>
              <w:t>Czy działania realizowane w toku wdrażania LSR uzupełniały się z innymi programami obejmującymi obszar LGD?</w:t>
            </w:r>
          </w:p>
          <w:p w:rsidR="00BC5629" w:rsidRPr="00BC5629" w:rsidRDefault="00BC5629" w:rsidP="00BC5629">
            <w:pPr>
              <w:rPr>
                <w:color w:val="FF0000"/>
              </w:rPr>
            </w:pPr>
            <w:r w:rsidRPr="00BC5629">
              <w:rPr>
                <w:color w:val="FF0000"/>
              </w:rPr>
              <w:t>W jakim stopniu działania realizowane w toku wdrażania LSR uzupełniały się wzajemnie?</w:t>
            </w:r>
          </w:p>
          <w:p w:rsidR="00BC5629" w:rsidRPr="00BC5629" w:rsidRDefault="00BC5629" w:rsidP="00BC5629">
            <w:pPr>
              <w:rPr>
                <w:b/>
                <w:color w:val="FF0000"/>
              </w:rPr>
            </w:pPr>
            <w:r w:rsidRPr="00BC5629">
              <w:rPr>
                <w:b/>
                <w:color w:val="FF0000"/>
              </w:rPr>
              <w:t>Trwałość</w:t>
            </w:r>
          </w:p>
          <w:p w:rsidR="00BC5629" w:rsidRPr="00BC5629" w:rsidRDefault="00BC5629" w:rsidP="00BC5629">
            <w:pPr>
              <w:rPr>
                <w:color w:val="FF0000"/>
              </w:rPr>
            </w:pPr>
            <w:r w:rsidRPr="00BC5629">
              <w:rPr>
                <w:color w:val="FF0000"/>
              </w:rPr>
              <w:t xml:space="preserve">Czy zrealizowane operacje wywołały trwałe zmiany w lokalnej społeczności? </w:t>
            </w:r>
          </w:p>
        </w:tc>
      </w:tr>
    </w:tbl>
    <w:p w:rsidR="00BC5629" w:rsidRPr="00BC5629" w:rsidRDefault="00BC5629" w:rsidP="00BC5629">
      <w:pPr>
        <w:widowControl w:val="0"/>
        <w:suppressAutoHyphens/>
        <w:autoSpaceDN w:val="0"/>
        <w:spacing w:line="240" w:lineRule="auto"/>
        <w:jc w:val="both"/>
        <w:textAlignment w:val="baseline"/>
        <w:rPr>
          <w:rFonts w:ascii="Calibri" w:eastAsia="Lucida Sans Unicode" w:hAnsi="Calibri" w:cs="Tahoma"/>
          <w:color w:val="FF0000"/>
          <w:kern w:val="3"/>
          <w:lang w:eastAsia="pl-PL"/>
        </w:rPr>
      </w:pPr>
    </w:p>
    <w:p w:rsidR="00BC5629" w:rsidRPr="00BC5629" w:rsidRDefault="00BC5629" w:rsidP="00BC5629">
      <w:pPr>
        <w:widowControl w:val="0"/>
        <w:suppressAutoHyphens/>
        <w:autoSpaceDN w:val="0"/>
        <w:spacing w:line="240" w:lineRule="auto"/>
        <w:jc w:val="both"/>
        <w:textAlignment w:val="baseline"/>
        <w:rPr>
          <w:rFonts w:ascii="Calibri" w:eastAsia="Lucida Sans Unicode" w:hAnsi="Calibri" w:cs="Tahoma"/>
          <w:color w:val="FF0000"/>
          <w:kern w:val="3"/>
          <w:lang w:eastAsia="pl-PL"/>
        </w:rPr>
      </w:pPr>
      <w:r w:rsidRPr="00BC5629">
        <w:rPr>
          <w:rFonts w:ascii="Calibri" w:eastAsia="Lucida Sans Unicode" w:hAnsi="Calibri" w:cs="Tahoma"/>
          <w:color w:val="FF0000"/>
          <w:kern w:val="3"/>
          <w:lang w:eastAsia="pl-PL"/>
        </w:rPr>
        <w:t>W czasie ewaluacji ex-</w:t>
      </w:r>
      <w:proofErr w:type="spellStart"/>
      <w:r w:rsidRPr="00BC5629">
        <w:rPr>
          <w:rFonts w:ascii="Calibri" w:eastAsia="Lucida Sans Unicode" w:hAnsi="Calibri" w:cs="Tahoma"/>
          <w:color w:val="FF0000"/>
          <w:kern w:val="3"/>
          <w:lang w:eastAsia="pl-PL"/>
        </w:rPr>
        <w:t>ante</w:t>
      </w:r>
      <w:proofErr w:type="spellEnd"/>
      <w:r w:rsidRPr="00BC5629">
        <w:rPr>
          <w:rFonts w:ascii="Calibri" w:eastAsia="Lucida Sans Unicode" w:hAnsi="Calibri" w:cs="Tahoma"/>
          <w:color w:val="FF0000"/>
          <w:kern w:val="3"/>
          <w:lang w:eastAsia="pl-PL"/>
        </w:rPr>
        <w:t xml:space="preserve">,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-term, on-</w:t>
      </w:r>
      <w:proofErr w:type="spellStart"/>
      <w:r w:rsidRPr="00BC5629">
        <w:rPr>
          <w:rFonts w:ascii="Calibri" w:eastAsia="Lucida Sans Unicode" w:hAnsi="Calibri" w:cs="Tahoma"/>
          <w:color w:val="FF0000"/>
          <w:kern w:val="3"/>
          <w:lang w:eastAsia="pl-PL"/>
        </w:rPr>
        <w:t>going</w:t>
      </w:r>
      <w:proofErr w:type="spellEnd"/>
      <w:r w:rsidRPr="00BC5629">
        <w:rPr>
          <w:rFonts w:ascii="Calibri" w:eastAsia="Lucida Sans Unicode" w:hAnsi="Calibri" w:cs="Tahoma"/>
          <w:color w:val="FF0000"/>
          <w:kern w:val="3"/>
          <w:lang w:eastAsia="pl-PL"/>
        </w:rPr>
        <w:t xml:space="preserve"> oraz ex-post zastosowane zostaną następujące techniki badawcze:</w:t>
      </w:r>
    </w:p>
    <w:p w:rsidR="00BC5629" w:rsidRPr="00BC5629"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color w:val="FF0000"/>
          <w:kern w:val="3"/>
          <w:lang w:eastAsia="pl-PL"/>
        </w:rPr>
      </w:pPr>
      <w:r w:rsidRPr="00BC5629">
        <w:rPr>
          <w:rFonts w:ascii="Calibri" w:eastAsia="Lucida Sans Unicode" w:hAnsi="Calibri" w:cs="Tahoma"/>
          <w:color w:val="FF0000"/>
          <w:kern w:val="3"/>
          <w:lang w:eastAsia="pl-PL"/>
        </w:rPr>
        <w:t>Analiza danych zastanych (ewaluacja ex-</w:t>
      </w:r>
      <w:proofErr w:type="spellStart"/>
      <w:r w:rsidRPr="00BC5629">
        <w:rPr>
          <w:rFonts w:ascii="Calibri" w:eastAsia="Lucida Sans Unicode" w:hAnsi="Calibri" w:cs="Tahoma"/>
          <w:color w:val="FF0000"/>
          <w:kern w:val="3"/>
          <w:lang w:eastAsia="pl-PL"/>
        </w:rPr>
        <w:t>ante</w:t>
      </w:r>
      <w:proofErr w:type="spellEnd"/>
      <w:r w:rsidRPr="00BC5629">
        <w:rPr>
          <w:rFonts w:ascii="Calibri" w:eastAsia="Lucida Sans Unicode" w:hAnsi="Calibri" w:cs="Tahoma"/>
          <w:color w:val="FF0000"/>
          <w:kern w:val="3"/>
          <w:lang w:eastAsia="pl-PL"/>
        </w:rPr>
        <w:t xml:space="preserve">,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 xml:space="preserve">-term, ex-post) – analiza dokumentacji wytworzonej przez biuro i organy LGD. Analiza ogólnodostępnych danych statystycznych (np. Bank Danych Lokalnych). Analiza dostępnych publikacji i raportów z badań dotyczących obszaru LGD. Bardzo istotnym źródłem danych zastanych będą raporty z monitoringu oraz sprawozdania z warsztatów refleksyjnych. Analiza danych zastanych zostanie w szczególności wykorzystana do określenia trafności prowadzonej interwencji. Wyniki analizy danych zastanych będą ponadto stanowić punkt wyjścia do zbierania danych przy pomocy pozostałych technik badawczych. Analiza dokumentacji w największym stopniu zostanie jednak wykorzystana w badaniu </w:t>
      </w:r>
      <w:r w:rsidRPr="00BC5629">
        <w:rPr>
          <w:rFonts w:ascii="Calibri" w:eastAsia="Lucida Sans Unicode" w:hAnsi="Calibri" w:cs="Tahoma"/>
          <w:b/>
          <w:bCs/>
          <w:color w:val="FF0000"/>
          <w:kern w:val="3"/>
          <w:lang w:eastAsia="pl-PL"/>
        </w:rPr>
        <w:t xml:space="preserve">trafności i spójności </w:t>
      </w:r>
      <w:r w:rsidRPr="00BC5629">
        <w:rPr>
          <w:rFonts w:ascii="Calibri" w:eastAsia="Lucida Sans Unicode" w:hAnsi="Calibri" w:cs="Tahoma"/>
          <w:color w:val="FF0000"/>
          <w:kern w:val="3"/>
          <w:lang w:eastAsia="pl-PL"/>
        </w:rPr>
        <w:t xml:space="preserve">procesu wdrażania LSR. Analiza w opisywanym tu zakresie w ramach ewaluacji zewnętrznej oraz ewaluacji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BC5629"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color w:val="FF0000"/>
          <w:kern w:val="3"/>
          <w:lang w:eastAsia="pl-PL"/>
        </w:rPr>
      </w:pPr>
      <w:r w:rsidRPr="00BC5629">
        <w:rPr>
          <w:rFonts w:ascii="Calibri" w:eastAsia="Lucida Sans Unicode" w:hAnsi="Calibri" w:cs="Tahoma"/>
          <w:color w:val="FF0000"/>
          <w:kern w:val="3"/>
          <w:lang w:eastAsia="pl-PL"/>
        </w:rPr>
        <w:t>Wywiady eksperckie (ewaluacja ex-</w:t>
      </w:r>
      <w:proofErr w:type="spellStart"/>
      <w:r w:rsidRPr="00BC5629">
        <w:rPr>
          <w:rFonts w:ascii="Calibri" w:eastAsia="Lucida Sans Unicode" w:hAnsi="Calibri" w:cs="Tahoma"/>
          <w:color w:val="FF0000"/>
          <w:kern w:val="3"/>
          <w:lang w:eastAsia="pl-PL"/>
        </w:rPr>
        <w:t>ante</w:t>
      </w:r>
      <w:proofErr w:type="spellEnd"/>
      <w:r w:rsidRPr="00BC5629">
        <w:rPr>
          <w:rFonts w:ascii="Calibri" w:eastAsia="Lucida Sans Unicode" w:hAnsi="Calibri" w:cs="Tahoma"/>
          <w:color w:val="FF0000"/>
          <w:kern w:val="3"/>
          <w:lang w:eastAsia="pl-PL"/>
        </w:rPr>
        <w:t xml:space="preserve">,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 xml:space="preserve">-term, ex-post))  – wywiady (indywidualne i grupowe) z przedstawicielami biura LGD oraz organów LGD. Wywiady eksperckie będą odgrywać znaczącą rolę dla badania </w:t>
      </w:r>
      <w:r w:rsidRPr="00BC5629">
        <w:rPr>
          <w:rFonts w:ascii="Calibri" w:eastAsia="Lucida Sans Unicode" w:hAnsi="Calibri" w:cs="Tahoma"/>
          <w:b/>
          <w:bCs/>
          <w:color w:val="FF0000"/>
          <w:kern w:val="3"/>
          <w:lang w:eastAsia="pl-PL"/>
        </w:rPr>
        <w:t>komplementarności</w:t>
      </w:r>
      <w:r w:rsidRPr="00BC5629">
        <w:rPr>
          <w:rFonts w:ascii="Calibri" w:eastAsia="Lucida Sans Unicode" w:hAnsi="Calibri" w:cs="Tahoma"/>
          <w:color w:val="FF0000"/>
          <w:kern w:val="3"/>
          <w:lang w:eastAsia="pl-PL"/>
        </w:rPr>
        <w:t xml:space="preserve"> procesu wdrażania LSR, jak również określenie jego </w:t>
      </w:r>
      <w:r w:rsidRPr="00BC5629">
        <w:rPr>
          <w:rFonts w:ascii="Calibri" w:eastAsia="Lucida Sans Unicode" w:hAnsi="Calibri" w:cs="Tahoma"/>
          <w:b/>
          <w:color w:val="FF0000"/>
          <w:kern w:val="3"/>
          <w:lang w:eastAsia="pl-PL"/>
        </w:rPr>
        <w:t>trafności</w:t>
      </w:r>
      <w:r w:rsidRPr="00BC5629">
        <w:rPr>
          <w:rFonts w:ascii="Calibri" w:eastAsia="Lucida Sans Unicode" w:hAnsi="Calibri" w:cs="Tahoma"/>
          <w:color w:val="FF0000"/>
          <w:kern w:val="3"/>
          <w:lang w:eastAsia="pl-PL"/>
        </w:rPr>
        <w:t xml:space="preserve"> i </w:t>
      </w:r>
      <w:r w:rsidRPr="00BC5629">
        <w:rPr>
          <w:rFonts w:ascii="Calibri" w:eastAsia="Lucida Sans Unicode" w:hAnsi="Calibri" w:cs="Tahoma"/>
          <w:b/>
          <w:color w:val="FF0000"/>
          <w:kern w:val="3"/>
          <w:lang w:eastAsia="pl-PL"/>
        </w:rPr>
        <w:t>skuteczności</w:t>
      </w:r>
      <w:r w:rsidRPr="00BC5629">
        <w:rPr>
          <w:rFonts w:ascii="Calibri" w:eastAsia="Lucida Sans Unicode" w:hAnsi="Calibri" w:cs="Tahoma"/>
          <w:color w:val="FF0000"/>
          <w:kern w:val="3"/>
          <w:lang w:eastAsia="pl-PL"/>
        </w:rPr>
        <w:t>.</w:t>
      </w:r>
    </w:p>
    <w:p w:rsidR="00BC5629" w:rsidRPr="00BC5629"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color w:val="FF0000"/>
          <w:kern w:val="3"/>
          <w:lang w:eastAsia="pl-PL"/>
        </w:rPr>
      </w:pPr>
      <w:r w:rsidRPr="00BC5629">
        <w:rPr>
          <w:rFonts w:ascii="Calibri" w:eastAsia="Lucida Sans Unicode" w:hAnsi="Calibri" w:cs="Tahoma"/>
          <w:color w:val="FF0000"/>
          <w:kern w:val="3"/>
          <w:lang w:eastAsia="pl-PL"/>
        </w:rPr>
        <w:t>Badanie ankietowe mieszkańców obszaru LGD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BC5629">
        <w:rPr>
          <w:rFonts w:ascii="Calibri" w:eastAsia="Lucida Sans Unicode" w:hAnsi="Calibri" w:cs="Tahoma"/>
          <w:color w:val="FF0000"/>
          <w:kern w:val="3"/>
          <w:lang w:eastAsia="pl-PL"/>
        </w:rPr>
        <w:t>ante</w:t>
      </w:r>
      <w:proofErr w:type="spellEnd"/>
      <w:r w:rsidRPr="00BC5629">
        <w:rPr>
          <w:rFonts w:ascii="Calibri" w:eastAsia="Lucida Sans Unicode" w:hAnsi="Calibri" w:cs="Tahoma"/>
          <w:color w:val="FF0000"/>
          <w:kern w:val="3"/>
          <w:lang w:eastAsia="pl-PL"/>
        </w:rPr>
        <w:t xml:space="preserve">,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BC5629">
        <w:rPr>
          <w:rFonts w:ascii="Calibri" w:eastAsia="Lucida Sans Unicode" w:hAnsi="Calibri" w:cs="Tahoma"/>
          <w:b/>
          <w:bCs/>
          <w:color w:val="FF0000"/>
          <w:kern w:val="3"/>
          <w:lang w:eastAsia="pl-PL"/>
        </w:rPr>
        <w:t>trafności</w:t>
      </w:r>
      <w:r w:rsidRPr="00BC5629">
        <w:rPr>
          <w:rFonts w:ascii="Calibri" w:eastAsia="Lucida Sans Unicode" w:hAnsi="Calibri" w:cs="Tahoma"/>
          <w:color w:val="FF0000"/>
          <w:kern w:val="3"/>
          <w:lang w:eastAsia="pl-PL"/>
        </w:rPr>
        <w:t xml:space="preserve">, </w:t>
      </w:r>
      <w:r w:rsidRPr="00BC5629">
        <w:rPr>
          <w:rFonts w:ascii="Calibri" w:eastAsia="Lucida Sans Unicode" w:hAnsi="Calibri" w:cs="Tahoma"/>
          <w:b/>
          <w:bCs/>
          <w:color w:val="FF0000"/>
          <w:kern w:val="3"/>
          <w:lang w:eastAsia="pl-PL"/>
        </w:rPr>
        <w:t>skuteczności</w:t>
      </w:r>
      <w:r w:rsidRPr="00BC5629">
        <w:rPr>
          <w:rFonts w:ascii="Calibri" w:eastAsia="Lucida Sans Unicode" w:hAnsi="Calibri" w:cs="Tahoma"/>
          <w:color w:val="FF0000"/>
          <w:kern w:val="3"/>
          <w:lang w:eastAsia="pl-PL"/>
        </w:rPr>
        <w:t xml:space="preserve"> oraz </w:t>
      </w:r>
      <w:r w:rsidRPr="00BC5629">
        <w:rPr>
          <w:rFonts w:ascii="Calibri" w:eastAsia="Lucida Sans Unicode" w:hAnsi="Calibri" w:cs="Tahoma"/>
          <w:b/>
          <w:bCs/>
          <w:color w:val="FF0000"/>
          <w:kern w:val="3"/>
          <w:lang w:eastAsia="pl-PL"/>
        </w:rPr>
        <w:t>użyteczności</w:t>
      </w:r>
      <w:r w:rsidRPr="00BC5629">
        <w:rPr>
          <w:rFonts w:ascii="Calibri" w:eastAsia="Lucida Sans Unicode" w:hAnsi="Calibri" w:cs="Tahoma"/>
          <w:color w:val="FF0000"/>
          <w:kern w:val="3"/>
          <w:lang w:eastAsia="pl-PL"/>
        </w:rPr>
        <w:t xml:space="preserve"> procesu wdrażania LSR oraz </w:t>
      </w:r>
      <w:r w:rsidRPr="00BC5629">
        <w:rPr>
          <w:rFonts w:ascii="Calibri" w:eastAsia="Lucida Sans Unicode" w:hAnsi="Calibri" w:cs="Tahoma"/>
          <w:b/>
          <w:color w:val="FF0000"/>
          <w:kern w:val="3"/>
          <w:lang w:eastAsia="pl-PL"/>
        </w:rPr>
        <w:t xml:space="preserve">trwałości </w:t>
      </w:r>
      <w:r w:rsidRPr="00BC5629">
        <w:rPr>
          <w:rFonts w:ascii="Calibri" w:eastAsia="Lucida Sans Unicode" w:hAnsi="Calibri" w:cs="Tahoma"/>
          <w:color w:val="FF0000"/>
          <w:kern w:val="3"/>
          <w:lang w:eastAsia="pl-PL"/>
        </w:rPr>
        <w:t>uzyskanych efektów.</w:t>
      </w:r>
    </w:p>
    <w:p w:rsidR="00BC5629" w:rsidRPr="00BC5629"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color w:val="FF0000"/>
          <w:kern w:val="3"/>
          <w:lang w:eastAsia="pl-PL"/>
        </w:rPr>
      </w:pPr>
      <w:r w:rsidRPr="00BC5629">
        <w:rPr>
          <w:rFonts w:ascii="Calibri" w:eastAsia="Lucida Sans Unicode" w:hAnsi="Calibri" w:cs="Tahoma"/>
          <w:color w:val="FF0000"/>
          <w:kern w:val="3"/>
          <w:lang w:eastAsia="pl-PL"/>
        </w:rPr>
        <w:t xml:space="preserve">Badanie ankietowe osób korzystających z doradztwa (ewaluacja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 xml:space="preserve">-term, ex-post) – służyć będzie do </w:t>
      </w:r>
      <w:r w:rsidRPr="00BC5629">
        <w:rPr>
          <w:rFonts w:ascii="Calibri" w:eastAsia="Lucida Sans Unicode" w:hAnsi="Calibri" w:cs="Tahoma"/>
          <w:b/>
          <w:color w:val="FF0000"/>
          <w:kern w:val="3"/>
          <w:lang w:eastAsia="pl-PL"/>
        </w:rPr>
        <w:t>badania poziomu efektywności doradztwa</w:t>
      </w:r>
      <w:r w:rsidRPr="00BC5629">
        <w:rPr>
          <w:rFonts w:ascii="Calibri" w:eastAsia="Lucida Sans Unicode" w:hAnsi="Calibri" w:cs="Tahoma"/>
          <w:color w:val="FF0000"/>
          <w:kern w:val="3"/>
          <w:lang w:eastAsia="pl-PL"/>
        </w:rPr>
        <w:t xml:space="preserve">. Prowadzone będzie co roku w ramach monitoringu, a zebrane dane będą </w:t>
      </w:r>
      <w:r w:rsidRPr="00BC5629">
        <w:rPr>
          <w:rFonts w:ascii="Calibri" w:eastAsia="Lucida Sans Unicode" w:hAnsi="Calibri" w:cs="Tahoma"/>
          <w:color w:val="FF0000"/>
          <w:kern w:val="3"/>
          <w:lang w:eastAsia="pl-PL"/>
        </w:rPr>
        <w:lastRenderedPageBreak/>
        <w:t xml:space="preserve">zbierane w corocznych raportach z monitoringu i poddawane ocenie w czasie warsztatów refleksyjnych. Dane te zostaną poddane dodatkowej zbiorczej analizie w czasie ewaluacji </w:t>
      </w:r>
      <w:proofErr w:type="spellStart"/>
      <w:r w:rsidRPr="00BC5629">
        <w:rPr>
          <w:rFonts w:ascii="Calibri" w:eastAsia="Lucida Sans Unicode" w:hAnsi="Calibri" w:cs="Tahoma"/>
          <w:color w:val="FF0000"/>
          <w:kern w:val="3"/>
          <w:lang w:eastAsia="pl-PL"/>
        </w:rPr>
        <w:t>mid</w:t>
      </w:r>
      <w:proofErr w:type="spellEnd"/>
      <w:r w:rsidRPr="00BC5629">
        <w:rPr>
          <w:rFonts w:ascii="Calibri" w:eastAsia="Lucida Sans Unicode" w:hAnsi="Calibri" w:cs="Tahoma"/>
          <w:color w:val="FF0000"/>
          <w:kern w:val="3"/>
          <w:lang w:eastAsia="pl-PL"/>
        </w:rPr>
        <w:t xml:space="preserve">-term i ex-post.  </w:t>
      </w:r>
    </w:p>
    <w:p w:rsidR="00BC5629" w:rsidRPr="00BC5629"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color w:val="FF0000"/>
          <w:kern w:val="3"/>
          <w:lang w:eastAsia="pl-PL"/>
        </w:rPr>
      </w:pPr>
      <w:r w:rsidRPr="00BC5629">
        <w:rPr>
          <w:rFonts w:ascii="Calibri" w:eastAsia="Lucida Sans Unicode" w:hAnsi="Calibri" w:cs="Tahoma"/>
          <w:color w:val="FF0000"/>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planu komunikacji. Ankieta będzie wypełniana przez wnioskodawców, niezależnie od tego czy uzyskali oni wsparcie, o które się ubiegali. Badanie to pozwoli na analizę </w:t>
      </w:r>
      <w:r w:rsidRPr="00BC5629">
        <w:rPr>
          <w:rFonts w:ascii="Calibri" w:eastAsia="Lucida Sans Unicode" w:hAnsi="Calibri" w:cs="Tahoma"/>
          <w:b/>
          <w:bCs/>
          <w:color w:val="FF0000"/>
          <w:kern w:val="3"/>
          <w:lang w:eastAsia="pl-PL"/>
        </w:rPr>
        <w:t>efektywności</w:t>
      </w:r>
      <w:r w:rsidRPr="00BC5629">
        <w:rPr>
          <w:rFonts w:ascii="Calibri" w:eastAsia="Lucida Sans Unicode" w:hAnsi="Calibri" w:cs="Tahoma"/>
          <w:color w:val="FF0000"/>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BC5629" w:rsidRDefault="00BC5629" w:rsidP="00EB5003">
      <w:pPr>
        <w:numPr>
          <w:ilvl w:val="0"/>
          <w:numId w:val="55"/>
        </w:numPr>
        <w:contextualSpacing/>
        <w:rPr>
          <w:rFonts w:ascii="Calibri" w:eastAsia="Lucida Sans Unicode" w:hAnsi="Calibri" w:cs="Tahoma"/>
          <w:color w:val="FF0000"/>
          <w:kern w:val="3"/>
          <w:lang w:eastAsia="pl-PL"/>
        </w:rPr>
      </w:pPr>
      <w:r w:rsidRPr="00BC5629">
        <w:rPr>
          <w:rFonts w:ascii="Calibri" w:eastAsia="Lucida Sans Unicode" w:hAnsi="Calibri" w:cs="Tahoma"/>
          <w:color w:val="FF0000"/>
          <w:kern w:val="3"/>
          <w:lang w:eastAsia="pl-PL"/>
        </w:rPr>
        <w:t>Warsztaty refleksyjne realizowane w ramach ewaluacji on-</w:t>
      </w:r>
      <w:proofErr w:type="spellStart"/>
      <w:r w:rsidRPr="00BC5629">
        <w:rPr>
          <w:rFonts w:ascii="Calibri" w:eastAsia="Lucida Sans Unicode" w:hAnsi="Calibri" w:cs="Tahoma"/>
          <w:color w:val="FF0000"/>
          <w:kern w:val="3"/>
          <w:lang w:eastAsia="pl-PL"/>
        </w:rPr>
        <w:t>going</w:t>
      </w:r>
      <w:proofErr w:type="spellEnd"/>
      <w:r w:rsidRPr="00BC5629">
        <w:rPr>
          <w:rFonts w:ascii="Calibri" w:eastAsia="Lucida Sans Unicode" w:hAnsi="Calibri" w:cs="Tahoma"/>
          <w:color w:val="FF0000"/>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BC5629" w:rsidRDefault="00BC5629" w:rsidP="00BC5629">
            <w:pPr>
              <w:rPr>
                <w:color w:val="FF0000"/>
              </w:rPr>
            </w:pPr>
          </w:p>
        </w:tc>
        <w:tc>
          <w:tcPr>
            <w:tcW w:w="2976" w:type="dxa"/>
          </w:tcPr>
          <w:p w:rsidR="00BC5629" w:rsidRPr="00BC5629" w:rsidRDefault="00BC5629" w:rsidP="00BC5629">
            <w:pPr>
              <w:rPr>
                <w:color w:val="FF0000"/>
              </w:rPr>
            </w:pPr>
            <w:r w:rsidRPr="00BC5629">
              <w:rPr>
                <w:color w:val="FF0000"/>
              </w:rPr>
              <w:t>Źródła danych i techniki ich pozyskania</w:t>
            </w:r>
          </w:p>
        </w:tc>
        <w:tc>
          <w:tcPr>
            <w:tcW w:w="1276" w:type="dxa"/>
          </w:tcPr>
          <w:p w:rsidR="00BC5629" w:rsidRPr="00BC5629" w:rsidRDefault="00BC5629" w:rsidP="00BC5629">
            <w:pPr>
              <w:rPr>
                <w:color w:val="FF0000"/>
              </w:rPr>
            </w:pPr>
            <w:r w:rsidRPr="00BC5629">
              <w:rPr>
                <w:color w:val="FF0000"/>
              </w:rPr>
              <w:t>Termin realizacji</w:t>
            </w:r>
          </w:p>
        </w:tc>
        <w:tc>
          <w:tcPr>
            <w:tcW w:w="4111" w:type="dxa"/>
          </w:tcPr>
          <w:p w:rsidR="00BC5629" w:rsidRPr="00BC5629" w:rsidRDefault="00BC5629" w:rsidP="00BC5629">
            <w:pPr>
              <w:rPr>
                <w:color w:val="FF0000"/>
              </w:rPr>
            </w:pPr>
            <w:r w:rsidRPr="00BC5629">
              <w:rPr>
                <w:color w:val="FF0000"/>
              </w:rPr>
              <w:t>Efekt realizacji</w:t>
            </w:r>
          </w:p>
        </w:tc>
      </w:tr>
      <w:tr w:rsidR="00BC5629" w:rsidRPr="00BC5629" w:rsidTr="00C03A59">
        <w:trPr>
          <w:trHeight w:val="143"/>
          <w:jc w:val="center"/>
        </w:trPr>
        <w:tc>
          <w:tcPr>
            <w:tcW w:w="746" w:type="dxa"/>
          </w:tcPr>
          <w:p w:rsidR="00BC5629" w:rsidRPr="00BC5629" w:rsidRDefault="00BC5629" w:rsidP="00BC5629">
            <w:pPr>
              <w:rPr>
                <w:color w:val="FF0000"/>
              </w:rPr>
            </w:pPr>
            <w:r w:rsidRPr="00BC5629">
              <w:rPr>
                <w:color w:val="FF0000"/>
              </w:rPr>
              <w:t>Ex-</w:t>
            </w:r>
            <w:proofErr w:type="spellStart"/>
            <w:r w:rsidRPr="00BC5629">
              <w:rPr>
                <w:color w:val="FF0000"/>
              </w:rPr>
              <w:t>ante</w:t>
            </w:r>
            <w:proofErr w:type="spellEnd"/>
          </w:p>
        </w:tc>
        <w:tc>
          <w:tcPr>
            <w:tcW w:w="2976" w:type="dxa"/>
          </w:tcPr>
          <w:p w:rsidR="00BC5629" w:rsidRPr="00BC5629" w:rsidRDefault="00BC5629" w:rsidP="00BC5629">
            <w:pPr>
              <w:rPr>
                <w:color w:val="FF0000"/>
              </w:rPr>
            </w:pPr>
            <w:r w:rsidRPr="00BC5629">
              <w:rPr>
                <w:color w:val="FF0000"/>
              </w:rPr>
              <w:t>Lokalna Strategia Rozwoju (analiza szczegółowych rozwiązań przyjętych w dokumencie strategicznym)</w:t>
            </w:r>
          </w:p>
          <w:p w:rsidR="00BC5629" w:rsidRPr="00BC5629" w:rsidRDefault="00BC5629" w:rsidP="00BC5629">
            <w:pPr>
              <w:rPr>
                <w:color w:val="FF0000"/>
              </w:rPr>
            </w:pPr>
            <w:r w:rsidRPr="00BC5629">
              <w:rPr>
                <w:color w:val="FF0000"/>
              </w:rPr>
              <w:t>Dokumentacja wytworzona w czasie konsultacji na etapie powstawania LSR</w:t>
            </w:r>
          </w:p>
          <w:p w:rsidR="00BC5629" w:rsidRPr="00BC5629" w:rsidRDefault="00BC5629" w:rsidP="00BC5629">
            <w:pPr>
              <w:rPr>
                <w:color w:val="FF0000"/>
              </w:rPr>
            </w:pPr>
            <w:r w:rsidRPr="00BC5629">
              <w:rPr>
                <w:color w:val="FF0000"/>
              </w:rPr>
              <w:t>Ogólnodostępne dane statystyczne</w:t>
            </w:r>
          </w:p>
          <w:p w:rsidR="00BC5629" w:rsidRPr="00BC5629" w:rsidRDefault="00BC5629" w:rsidP="00BC5629">
            <w:pPr>
              <w:rPr>
                <w:color w:val="FF0000"/>
              </w:rPr>
            </w:pPr>
            <w:r w:rsidRPr="00BC5629">
              <w:rPr>
                <w:color w:val="FF0000"/>
              </w:rPr>
              <w:t>Raporty, publikacje, dokumenty strategiczne dotyczące obszaru objętego LSR</w:t>
            </w:r>
          </w:p>
        </w:tc>
        <w:tc>
          <w:tcPr>
            <w:tcW w:w="1276" w:type="dxa"/>
          </w:tcPr>
          <w:p w:rsidR="00BC5629" w:rsidRPr="00BC5629" w:rsidRDefault="00BC5629" w:rsidP="00BC5629">
            <w:pPr>
              <w:rPr>
                <w:color w:val="FF0000"/>
              </w:rPr>
            </w:pPr>
            <w:r w:rsidRPr="00BC5629">
              <w:rPr>
                <w:color w:val="FF0000"/>
              </w:rPr>
              <w:t>Ostatni kwartał 2016</w:t>
            </w:r>
          </w:p>
        </w:tc>
        <w:tc>
          <w:tcPr>
            <w:tcW w:w="4111" w:type="dxa"/>
          </w:tcPr>
          <w:p w:rsidR="00BC5629" w:rsidRPr="00BC5629" w:rsidRDefault="00BC5629" w:rsidP="00BC5629">
            <w:pPr>
              <w:rPr>
                <w:color w:val="FF0000"/>
              </w:rPr>
            </w:pPr>
            <w:r w:rsidRPr="00BC5629">
              <w:rPr>
                <w:color w:val="FF0000"/>
              </w:rPr>
              <w:t>Kompleksowa ocena procesu powstawania Lokalnej Strategii Rozwoju oraz zapisów dokumentu strategicznego.</w:t>
            </w:r>
          </w:p>
          <w:p w:rsidR="00BC5629" w:rsidRPr="00BC5629" w:rsidRDefault="00BC5629" w:rsidP="00BC5629">
            <w:pPr>
              <w:rPr>
                <w:color w:val="FF0000"/>
              </w:rPr>
            </w:pPr>
            <w:r w:rsidRPr="00BC5629">
              <w:rPr>
                <w:color w:val="FF0000"/>
              </w:rPr>
              <w:t>Oszacowanie wszystkich możliwych efektów wdrażania LSR</w:t>
            </w:r>
          </w:p>
        </w:tc>
      </w:tr>
      <w:tr w:rsidR="00BC5629" w:rsidRPr="00BC5629" w:rsidTr="00C03A59">
        <w:trPr>
          <w:trHeight w:val="143"/>
          <w:jc w:val="center"/>
        </w:trPr>
        <w:tc>
          <w:tcPr>
            <w:tcW w:w="746" w:type="dxa"/>
          </w:tcPr>
          <w:p w:rsidR="00BC5629" w:rsidRPr="00BC5629" w:rsidRDefault="00BC5629" w:rsidP="00BC5629">
            <w:pPr>
              <w:rPr>
                <w:color w:val="FF0000"/>
              </w:rPr>
            </w:pPr>
            <w:proofErr w:type="spellStart"/>
            <w:r w:rsidRPr="00BC5629">
              <w:rPr>
                <w:color w:val="FF0000"/>
              </w:rPr>
              <w:t>Mid</w:t>
            </w:r>
            <w:proofErr w:type="spellEnd"/>
            <w:r w:rsidRPr="00BC5629">
              <w:rPr>
                <w:color w:val="FF0000"/>
              </w:rPr>
              <w:t>-term</w:t>
            </w:r>
          </w:p>
        </w:tc>
        <w:tc>
          <w:tcPr>
            <w:tcW w:w="2976" w:type="dxa"/>
          </w:tcPr>
          <w:p w:rsidR="00BC5629" w:rsidRPr="00BC5629" w:rsidRDefault="00BC5629" w:rsidP="00BC5629">
            <w:pPr>
              <w:rPr>
                <w:color w:val="FF0000"/>
              </w:rPr>
            </w:pPr>
            <w:r w:rsidRPr="00BC5629">
              <w:rPr>
                <w:color w:val="FF0000"/>
              </w:rPr>
              <w:t xml:space="preserve">Analiza danych zastanych </w:t>
            </w:r>
          </w:p>
          <w:p w:rsidR="00BC5629" w:rsidRPr="00BC5629" w:rsidRDefault="00BC5629" w:rsidP="00BC5629">
            <w:pPr>
              <w:rPr>
                <w:color w:val="FF0000"/>
              </w:rPr>
            </w:pPr>
            <w:r w:rsidRPr="00BC5629">
              <w:rPr>
                <w:color w:val="FF0000"/>
              </w:rPr>
              <w:t>Wywiady eksperckie</w:t>
            </w:r>
          </w:p>
          <w:p w:rsidR="00BC5629" w:rsidRPr="00BC5629" w:rsidRDefault="00BC5629" w:rsidP="00BC5629">
            <w:pPr>
              <w:rPr>
                <w:color w:val="FF0000"/>
              </w:rPr>
            </w:pPr>
            <w:r w:rsidRPr="00BC5629">
              <w:rPr>
                <w:color w:val="FF0000"/>
              </w:rPr>
              <w:t>Badanie ankietowe na losowo dobranej próbie mieszkańców obszaru LGD (realizowane przez biuro LGD za pomocą ankiety dostarczonej przez wyspecjalizowany podmiot zewnętrzny)</w:t>
            </w:r>
          </w:p>
          <w:p w:rsidR="00BC5629" w:rsidRPr="00BC5629" w:rsidRDefault="00BC5629" w:rsidP="00BC5629">
            <w:pPr>
              <w:rPr>
                <w:strike/>
                <w:color w:val="FF0000"/>
              </w:rPr>
            </w:pPr>
          </w:p>
        </w:tc>
        <w:tc>
          <w:tcPr>
            <w:tcW w:w="1276" w:type="dxa"/>
          </w:tcPr>
          <w:p w:rsidR="00BC5629" w:rsidRPr="00BC5629" w:rsidRDefault="00BC5629" w:rsidP="00BC5629">
            <w:pPr>
              <w:rPr>
                <w:color w:val="FF0000"/>
              </w:rPr>
            </w:pPr>
            <w:r w:rsidRPr="00BC5629">
              <w:rPr>
                <w:color w:val="FF0000"/>
              </w:rPr>
              <w:t>2019</w:t>
            </w:r>
          </w:p>
        </w:tc>
        <w:tc>
          <w:tcPr>
            <w:tcW w:w="4111" w:type="dxa"/>
          </w:tcPr>
          <w:p w:rsidR="00BC5629" w:rsidRPr="00BC5629" w:rsidRDefault="00BC5629" w:rsidP="00BC5629">
            <w:pPr>
              <w:rPr>
                <w:color w:val="FF0000"/>
              </w:rPr>
            </w:pPr>
            <w:r w:rsidRPr="00BC5629">
              <w:rPr>
                <w:color w:val="FF0000"/>
              </w:rPr>
              <w:t>Włączenie mieszkańców w proces ewaluacji LSR.</w:t>
            </w:r>
          </w:p>
          <w:p w:rsidR="00BC5629" w:rsidRPr="00BC5629" w:rsidRDefault="00BC5629" w:rsidP="00BC5629">
            <w:pPr>
              <w:rPr>
                <w:color w:val="FF0000"/>
              </w:rPr>
            </w:pPr>
            <w:r w:rsidRPr="00BC5629">
              <w:rPr>
                <w:color w:val="FF0000"/>
              </w:rPr>
              <w:t>Kompleksowa ocena dokumentu strategicznego.</w:t>
            </w:r>
          </w:p>
          <w:p w:rsidR="00BC5629" w:rsidRPr="00BC5629" w:rsidRDefault="00BC5629" w:rsidP="00BC5629">
            <w:pPr>
              <w:rPr>
                <w:color w:val="FF0000"/>
              </w:rPr>
            </w:pPr>
            <w:r w:rsidRPr="00BC5629">
              <w:rPr>
                <w:color w:val="FF0000"/>
              </w:rPr>
              <w:t>Opisanie i ocena zmian w społeczności lokalnej osiągniętych dzięki wdrażaniu LSR.</w:t>
            </w:r>
          </w:p>
          <w:p w:rsidR="00BC5629" w:rsidRPr="00BC5629" w:rsidRDefault="00BC5629" w:rsidP="00BC5629">
            <w:pPr>
              <w:rPr>
                <w:color w:val="FF0000"/>
              </w:rPr>
            </w:pPr>
            <w:r w:rsidRPr="00BC5629">
              <w:rPr>
                <w:color w:val="FF0000"/>
              </w:rPr>
              <w:t>Identyfikacja ewentualnych istotnych zmian w społeczności lokalnej rodzących potrzebę zmian zapisów LSR.</w:t>
            </w:r>
          </w:p>
          <w:p w:rsidR="00BC5629" w:rsidRPr="00BC5629" w:rsidRDefault="00BC5629" w:rsidP="00BC5629">
            <w:pPr>
              <w:rPr>
                <w:color w:val="FF0000"/>
              </w:rPr>
            </w:pPr>
            <w:r w:rsidRPr="00BC5629">
              <w:rPr>
                <w:color w:val="FF0000"/>
              </w:rPr>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BC5629" w:rsidRDefault="00BC5629" w:rsidP="00BC5629">
            <w:pPr>
              <w:rPr>
                <w:color w:val="FF0000"/>
              </w:rPr>
            </w:pPr>
            <w:r w:rsidRPr="00BC5629">
              <w:rPr>
                <w:color w:val="FF0000"/>
              </w:rPr>
              <w:lastRenderedPageBreak/>
              <w:t>Ex-post</w:t>
            </w:r>
          </w:p>
        </w:tc>
        <w:tc>
          <w:tcPr>
            <w:tcW w:w="2976" w:type="dxa"/>
          </w:tcPr>
          <w:p w:rsidR="00BC5629" w:rsidRPr="00BC5629" w:rsidRDefault="00BC5629" w:rsidP="00BC5629">
            <w:pPr>
              <w:rPr>
                <w:color w:val="FF0000"/>
              </w:rPr>
            </w:pPr>
            <w:r w:rsidRPr="00BC5629">
              <w:rPr>
                <w:color w:val="FF0000"/>
              </w:rPr>
              <w:t xml:space="preserve">Analiza danych zastanych </w:t>
            </w:r>
          </w:p>
          <w:p w:rsidR="00BC5629" w:rsidRPr="00BC5629" w:rsidRDefault="00BC5629" w:rsidP="00BC5629">
            <w:pPr>
              <w:rPr>
                <w:color w:val="FF0000"/>
              </w:rPr>
            </w:pPr>
            <w:r w:rsidRPr="00BC5629">
              <w:rPr>
                <w:color w:val="FF0000"/>
              </w:rPr>
              <w:t>Wywiady eksperckie</w:t>
            </w:r>
          </w:p>
          <w:p w:rsidR="00BC5629" w:rsidRPr="00BC5629" w:rsidRDefault="00BC5629" w:rsidP="00BC5629">
            <w:pPr>
              <w:rPr>
                <w:color w:val="FF0000"/>
              </w:rPr>
            </w:pPr>
            <w:r w:rsidRPr="00BC5629">
              <w:rPr>
                <w:color w:val="FF0000"/>
              </w:rPr>
              <w:t>Badanie ankietowe na losowo dobranej próbie mieszkańców obszaru LGD (realizowane przez biuro LGD za pomocą ankiety dostarczonej przez wyspecjalizowany podmiot zewnętrzny)</w:t>
            </w:r>
          </w:p>
          <w:p w:rsidR="00BC5629" w:rsidRPr="00BC5629" w:rsidRDefault="00BC5629" w:rsidP="00BC5629">
            <w:pPr>
              <w:rPr>
                <w:color w:val="FF0000"/>
              </w:rPr>
            </w:pPr>
            <w:r w:rsidRPr="00BC5629">
              <w:rPr>
                <w:color w:val="FF0000"/>
              </w:rPr>
              <w:t>Badanie ankietowe wnioskodawców</w:t>
            </w:r>
          </w:p>
        </w:tc>
        <w:tc>
          <w:tcPr>
            <w:tcW w:w="1276" w:type="dxa"/>
          </w:tcPr>
          <w:p w:rsidR="00BC5629" w:rsidRPr="00BC5629" w:rsidRDefault="00BC5629" w:rsidP="00BC5629">
            <w:pPr>
              <w:rPr>
                <w:color w:val="FF0000"/>
              </w:rPr>
            </w:pPr>
            <w:r w:rsidRPr="00BC5629">
              <w:rPr>
                <w:color w:val="FF0000"/>
              </w:rPr>
              <w:t>Po roku 2020</w:t>
            </w:r>
          </w:p>
        </w:tc>
        <w:tc>
          <w:tcPr>
            <w:tcW w:w="4111" w:type="dxa"/>
          </w:tcPr>
          <w:p w:rsidR="00BC5629" w:rsidRPr="00BC5629" w:rsidRDefault="00BC5629" w:rsidP="00BC5629">
            <w:pPr>
              <w:rPr>
                <w:color w:val="FF0000"/>
              </w:rPr>
            </w:pPr>
            <w:r w:rsidRPr="00BC5629">
              <w:rPr>
                <w:color w:val="FF0000"/>
              </w:rPr>
              <w:t>Włączenie mieszkańców w proces ewaluacji LSR.</w:t>
            </w:r>
          </w:p>
          <w:p w:rsidR="00BC5629" w:rsidRPr="00BC5629" w:rsidRDefault="00BC5629" w:rsidP="00BC5629">
            <w:pPr>
              <w:rPr>
                <w:color w:val="FF0000"/>
              </w:rPr>
            </w:pPr>
            <w:r w:rsidRPr="00BC5629">
              <w:rPr>
                <w:color w:val="FF0000"/>
              </w:rPr>
              <w:t>Kompleksowa ocena dokumentu strategicznego.</w:t>
            </w:r>
          </w:p>
          <w:p w:rsidR="00BC5629" w:rsidRPr="00BC5629" w:rsidRDefault="00BC5629" w:rsidP="00BC5629">
            <w:pPr>
              <w:rPr>
                <w:color w:val="FF0000"/>
              </w:rPr>
            </w:pPr>
            <w:r w:rsidRPr="00BC5629">
              <w:rPr>
                <w:color w:val="FF0000"/>
              </w:rPr>
              <w:t>Ocena wszystkich aspektów funkcjonowania LGD oraz działań podjętych w ramach aktywizacji.</w:t>
            </w:r>
          </w:p>
          <w:p w:rsidR="00BC5629" w:rsidRPr="00BC5629" w:rsidRDefault="00BC5629" w:rsidP="00BC5629">
            <w:pPr>
              <w:rPr>
                <w:color w:val="FF0000"/>
              </w:rPr>
            </w:pPr>
            <w:r w:rsidRPr="00BC5629">
              <w:rPr>
                <w:color w:val="FF0000"/>
              </w:rPr>
              <w:t>Opisanie i ocena zmian w społeczności lokalnej osiągniętych dzięki wdrażaniu LSR.</w:t>
            </w:r>
          </w:p>
          <w:p w:rsidR="00BC5629" w:rsidRPr="00BC5629" w:rsidRDefault="00BC5629" w:rsidP="00BC5629">
            <w:pPr>
              <w:rPr>
                <w:color w:val="FF0000"/>
              </w:rPr>
            </w:pPr>
            <w:r w:rsidRPr="00BC5629">
              <w:rPr>
                <w:color w:val="FF0000"/>
              </w:rPr>
              <w:t>Sformułowanie rekomendacji dotyczących przyszłego sposobu funkcjonowania LGD.</w:t>
            </w:r>
          </w:p>
        </w:tc>
      </w:tr>
      <w:tr w:rsidR="00BC5629" w:rsidRPr="00BC5629" w:rsidTr="00C03A59">
        <w:trPr>
          <w:trHeight w:val="2472"/>
          <w:jc w:val="center"/>
        </w:trPr>
        <w:tc>
          <w:tcPr>
            <w:tcW w:w="746" w:type="dxa"/>
          </w:tcPr>
          <w:p w:rsidR="00BC5629" w:rsidRPr="00BC5629" w:rsidRDefault="00BC5629" w:rsidP="00BC5629">
            <w:pPr>
              <w:rPr>
                <w:color w:val="FF0000"/>
              </w:rPr>
            </w:pPr>
            <w:r w:rsidRPr="00BC5629">
              <w:rPr>
                <w:color w:val="FF0000"/>
              </w:rPr>
              <w:t>Ewaluacja on-</w:t>
            </w:r>
            <w:proofErr w:type="spellStart"/>
            <w:r w:rsidRPr="00BC5629">
              <w:rPr>
                <w:color w:val="FF0000"/>
              </w:rPr>
              <w:t>going</w:t>
            </w:r>
            <w:proofErr w:type="spellEnd"/>
            <w:r w:rsidRPr="00BC5629">
              <w:rPr>
                <w:color w:val="FF0000"/>
              </w:rPr>
              <w:t xml:space="preserve"> </w:t>
            </w:r>
          </w:p>
        </w:tc>
        <w:tc>
          <w:tcPr>
            <w:tcW w:w="2976" w:type="dxa"/>
          </w:tcPr>
          <w:p w:rsidR="00BC5629" w:rsidRPr="00BC5629" w:rsidRDefault="00BC5629" w:rsidP="00BC5629">
            <w:pPr>
              <w:rPr>
                <w:color w:val="FF0000"/>
              </w:rPr>
            </w:pPr>
            <w:r w:rsidRPr="00BC5629">
              <w:rPr>
                <w:color w:val="FF0000"/>
              </w:rPr>
              <w:t>Warsztaty refleksyjne za każdy rok realizowane na początku kolejnego roku kalendarzowego na podstawie zbieranych na bieżąco danych opracowanych w formie prezentacji pracownika biura lub podmiot zewnętrzny</w:t>
            </w:r>
          </w:p>
          <w:p w:rsidR="00BC5629" w:rsidRPr="00BC5629" w:rsidRDefault="00BC5629" w:rsidP="00BC5629">
            <w:pPr>
              <w:rPr>
                <w:color w:val="FF0000"/>
              </w:rPr>
            </w:pPr>
          </w:p>
        </w:tc>
        <w:tc>
          <w:tcPr>
            <w:tcW w:w="1276" w:type="dxa"/>
          </w:tcPr>
          <w:p w:rsidR="00BC5629" w:rsidRPr="00BC5629" w:rsidRDefault="00BC5629" w:rsidP="00BC5629">
            <w:pPr>
              <w:rPr>
                <w:color w:val="FF0000"/>
              </w:rPr>
            </w:pPr>
            <w:r w:rsidRPr="00BC5629">
              <w:rPr>
                <w:color w:val="FF0000"/>
              </w:rPr>
              <w:t>Do końca lutego każdego roku wdrażania LSR</w:t>
            </w:r>
          </w:p>
          <w:p w:rsidR="00BC5629" w:rsidRPr="00BC5629" w:rsidRDefault="00BC5629" w:rsidP="00BC5629">
            <w:pPr>
              <w:rPr>
                <w:color w:val="FF0000"/>
              </w:rPr>
            </w:pPr>
          </w:p>
          <w:p w:rsidR="00BC5629" w:rsidRPr="00BC5629" w:rsidRDefault="00BC5629" w:rsidP="00BC5629">
            <w:pPr>
              <w:rPr>
                <w:color w:val="FF0000"/>
              </w:rPr>
            </w:pPr>
          </w:p>
          <w:p w:rsidR="00BC5629" w:rsidRPr="00BC5629" w:rsidRDefault="00BC5629" w:rsidP="00BC5629">
            <w:pPr>
              <w:rPr>
                <w:color w:val="FF0000"/>
              </w:rPr>
            </w:pPr>
          </w:p>
          <w:p w:rsidR="00BC5629" w:rsidRPr="00BC5629" w:rsidRDefault="00BC5629" w:rsidP="00BC5629">
            <w:pPr>
              <w:rPr>
                <w:color w:val="FF0000"/>
              </w:rPr>
            </w:pPr>
          </w:p>
        </w:tc>
        <w:tc>
          <w:tcPr>
            <w:tcW w:w="4111" w:type="dxa"/>
          </w:tcPr>
          <w:p w:rsidR="00BC5629" w:rsidRPr="00BC5629" w:rsidRDefault="00BC5629" w:rsidP="00BC5629">
            <w:pPr>
              <w:rPr>
                <w:color w:val="FF0000"/>
              </w:rPr>
            </w:pPr>
            <w:r w:rsidRPr="00BC5629">
              <w:rPr>
                <w:color w:val="FF0000"/>
              </w:rPr>
              <w:t>Włączenie mieszkańców w proces ewaluacji LSR.</w:t>
            </w:r>
          </w:p>
          <w:p w:rsidR="00BC5629" w:rsidRPr="00BC5629" w:rsidRDefault="00BC5629" w:rsidP="00BC5629">
            <w:pPr>
              <w:rPr>
                <w:color w:val="FF0000"/>
              </w:rPr>
            </w:pPr>
            <w:r w:rsidRPr="00BC5629">
              <w:rPr>
                <w:color w:val="FF0000"/>
              </w:rPr>
              <w:t>Ocena wdrażania dokumentu strategicznego.</w:t>
            </w:r>
          </w:p>
          <w:p w:rsidR="00BC5629" w:rsidRPr="00BC5629" w:rsidRDefault="00BC5629" w:rsidP="00BC5629">
            <w:pPr>
              <w:rPr>
                <w:color w:val="FF0000"/>
              </w:rPr>
            </w:pPr>
            <w:r w:rsidRPr="00BC5629">
              <w:rPr>
                <w:color w:val="FF0000"/>
              </w:rPr>
              <w:t>Ocena aspektów funkcjonowania LGD oraz działań podjętych w ramach aktywizacji.</w:t>
            </w:r>
          </w:p>
          <w:p w:rsidR="00BC5629" w:rsidRPr="00BC5629" w:rsidRDefault="00BC5629" w:rsidP="00BC5629">
            <w:pPr>
              <w:rPr>
                <w:color w:val="FF0000"/>
              </w:rPr>
            </w:pPr>
            <w:r w:rsidRPr="00BC5629">
              <w:rPr>
                <w:color w:val="FF0000"/>
              </w:rPr>
              <w:t>Opisanie i ocena zmian w społeczności lokalnej osiągniętych dzięki wdrażaniu LSR.</w:t>
            </w:r>
          </w:p>
          <w:p w:rsidR="00BC5629" w:rsidRPr="00BC5629" w:rsidRDefault="00BC5629" w:rsidP="00BC5629">
            <w:pPr>
              <w:rPr>
                <w:color w:val="FF0000"/>
              </w:rPr>
            </w:pPr>
            <w:r w:rsidRPr="00BC5629">
              <w:rPr>
                <w:color w:val="FF0000"/>
              </w:rPr>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C5629" w:rsidRDefault="00BC5629" w:rsidP="00121A1E">
      <w:pPr>
        <w:rPr>
          <w:i/>
          <w:iCs/>
        </w:rPr>
      </w:pPr>
    </w:p>
    <w:p w:rsidR="00B2475B" w:rsidRDefault="00121A1E" w:rsidP="00B2475B">
      <w:r w:rsidRPr="00121A1E">
        <w:rPr>
          <w:rStyle w:val="Nagwek2Znak"/>
          <w:rFonts w:ascii="Times New Roman" w:hAnsi="Times New Roman" w:cs="Times New Roman"/>
          <w:sz w:val="22"/>
          <w:szCs w:val="22"/>
        </w:rPr>
        <w:lastRenderedPageBreak/>
        <w:t xml:space="preserve">3. </w:t>
      </w:r>
      <w:bookmarkStart w:id="60" w:name="_Toc452645499"/>
      <w:r w:rsidR="00606060" w:rsidRPr="00121A1E">
        <w:rPr>
          <w:rStyle w:val="Nagwek2Znak"/>
          <w:rFonts w:ascii="Times New Roman" w:hAnsi="Times New Roman" w:cs="Times New Roman"/>
          <w:sz w:val="22"/>
          <w:szCs w:val="22"/>
        </w:rPr>
        <w:t>Plan działania</w:t>
      </w:r>
      <w:bookmarkStart w:id="61" w:name="_Toc442207824"/>
      <w:bookmarkEnd w:id="60"/>
      <w:r w:rsidR="00B2475B" w:rsidRPr="00B2475B">
        <w:rPr>
          <w:noProof/>
          <w:lang w:eastAsia="pl-PL"/>
        </w:rPr>
        <w:drawing>
          <wp:inline distT="0" distB="0" distL="0" distR="0" wp14:anchorId="4B8A9278" wp14:editId="1E21DA1E">
            <wp:extent cx="6743700" cy="9119139"/>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7109" cy="9123749"/>
                    </a:xfrm>
                    <a:prstGeom prst="rect">
                      <a:avLst/>
                    </a:prstGeom>
                    <a:noFill/>
                    <a:ln>
                      <a:noFill/>
                    </a:ln>
                  </pic:spPr>
                </pic:pic>
              </a:graphicData>
            </a:graphic>
          </wp:inline>
        </w:drawing>
      </w:r>
    </w:p>
    <w:p w:rsidR="003042E0" w:rsidRDefault="00CA40FF" w:rsidP="00BD120F">
      <w:pPr>
        <w:rPr>
          <w:rFonts w:ascii="Times New Roman" w:hAnsi="Times New Roman"/>
        </w:rPr>
      </w:pPr>
      <w:r w:rsidRPr="00CA40FF">
        <w:rPr>
          <w:highlight w:val="lightGray"/>
        </w:rPr>
        <w:lastRenderedPageBreak/>
        <w:t xml:space="preserve"> </w:t>
      </w:r>
      <w:bookmarkEnd w:id="61"/>
    </w:p>
    <w:p w:rsidR="003042E0" w:rsidRDefault="003042E0" w:rsidP="00121A1E">
      <w:pPr>
        <w:rPr>
          <w:rFonts w:ascii="Times New Roman" w:hAnsi="Times New Roman"/>
        </w:rPr>
      </w:pPr>
    </w:p>
    <w:p w:rsidR="001E7922" w:rsidRDefault="00B2475B" w:rsidP="001E7922">
      <w:pPr>
        <w:rPr>
          <w:lang w:eastAsia="pl-PL"/>
        </w:rPr>
      </w:pPr>
      <w:r w:rsidRPr="00B2475B">
        <w:rPr>
          <w:noProof/>
          <w:lang w:eastAsia="pl-PL"/>
        </w:rPr>
        <w:drawing>
          <wp:inline distT="0" distB="0" distL="0" distR="0" wp14:anchorId="789AED95" wp14:editId="6A9965C3">
            <wp:extent cx="6840220" cy="5390244"/>
            <wp:effectExtent l="0" t="0" r="0" b="127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390244"/>
                    </a:xfrm>
                    <a:prstGeom prst="rect">
                      <a:avLst/>
                    </a:prstGeom>
                    <a:noFill/>
                    <a:ln>
                      <a:noFill/>
                    </a:ln>
                  </pic:spPr>
                </pic:pic>
              </a:graphicData>
            </a:graphic>
          </wp:inline>
        </w:drawing>
      </w:r>
    </w:p>
    <w:p w:rsidR="00090BE7" w:rsidRDefault="00090BE7"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0D3040" w:rsidRDefault="000D3040" w:rsidP="001E7922">
      <w:pPr>
        <w:rPr>
          <w:lang w:eastAsia="pl-PL"/>
        </w:rPr>
      </w:pPr>
    </w:p>
    <w:p w:rsidR="00B2475B" w:rsidRDefault="00B2475B" w:rsidP="001E7922">
      <w:pPr>
        <w:rPr>
          <w:lang w:eastAsia="pl-PL"/>
        </w:rPr>
      </w:pPr>
    </w:p>
    <w:p w:rsidR="001E2635" w:rsidRPr="001E7922" w:rsidRDefault="001E2635"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2" w:name="_Toc452645500"/>
      <w:r w:rsidRPr="00C2003D">
        <w:rPr>
          <w:rFonts w:ascii="Times New Roman" w:hAnsi="Times New Roman" w:cs="Times New Roman"/>
          <w:sz w:val="22"/>
          <w:szCs w:val="22"/>
        </w:rPr>
        <w:lastRenderedPageBreak/>
        <w:t>Budżet LSR</w:t>
      </w:r>
      <w:bookmarkEnd w:id="62"/>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c>
          <w:tcPr>
            <w:tcW w:w="1787"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BC5629" w:rsidRDefault="006929BC" w:rsidP="00433F33">
            <w:pPr>
              <w:suppressAutoHyphens/>
              <w:jc w:val="right"/>
            </w:pPr>
            <w:r w:rsidRPr="00BC5629">
              <w:rPr>
                <w:strike/>
                <w:color w:val="FF0000"/>
              </w:rPr>
              <w:t>177 449,00</w:t>
            </w:r>
            <w:r w:rsidR="00BC5629">
              <w:rPr>
                <w:strike/>
                <w:color w:val="FF0000"/>
              </w:rPr>
              <w:t xml:space="preserve"> </w:t>
            </w:r>
            <w:r w:rsidR="00BC5629">
              <w:rPr>
                <w:color w:val="FF0000"/>
              </w:rPr>
              <w:t>443622,50</w:t>
            </w:r>
          </w:p>
        </w:tc>
        <w:tc>
          <w:tcPr>
            <w:tcW w:w="1787" w:type="dxa"/>
            <w:tcBorders>
              <w:left w:val="single" w:sz="12" w:space="0" w:color="auto"/>
              <w:right w:val="single" w:sz="12" w:space="0" w:color="auto"/>
            </w:tcBorders>
            <w:vAlign w:val="center"/>
          </w:tcPr>
          <w:p w:rsidR="006929BC" w:rsidRPr="00B97962" w:rsidRDefault="00BC5629" w:rsidP="00433F33">
            <w:pPr>
              <w:suppressAutoHyphens/>
              <w:jc w:val="right"/>
            </w:pPr>
            <w:r w:rsidRPr="00BC5629">
              <w:rPr>
                <w:strike/>
                <w:color w:val="FF0000"/>
              </w:rPr>
              <w:t>177 449,00</w:t>
            </w:r>
            <w:r>
              <w:rPr>
                <w:strike/>
                <w:color w:val="FF0000"/>
              </w:rPr>
              <w:t xml:space="preserve"> </w:t>
            </w:r>
            <w:r>
              <w:rPr>
                <w:color w:val="FF0000"/>
              </w:rPr>
              <w:t>443622,50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1 818 852,28</w:t>
            </w:r>
          </w:p>
        </w:tc>
        <w:tc>
          <w:tcPr>
            <w:tcW w:w="1787"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177 449,00</w:t>
            </w:r>
          </w:p>
        </w:tc>
        <w:tc>
          <w:tcPr>
            <w:tcW w:w="1787" w:type="dxa"/>
            <w:tcBorders>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177 449,00</w:t>
            </w:r>
          </w:p>
        </w:tc>
      </w:tr>
      <w:tr w:rsidR="00BC5629"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BC5629" w:rsidRPr="00EF52F6" w:rsidRDefault="00BC5629" w:rsidP="00C03A59">
            <w:pPr>
              <w:suppressAutoHyphens/>
              <w:jc w:val="right"/>
            </w:pPr>
            <w:r w:rsidRPr="00EF52F6">
              <w:rPr>
                <w:strike/>
                <w:color w:val="FF0000"/>
              </w:rPr>
              <w:t>11 046 200,40</w:t>
            </w:r>
            <w:r>
              <w:rPr>
                <w:strike/>
                <w:color w:val="FF0000"/>
              </w:rPr>
              <w:t xml:space="preserve"> </w:t>
            </w:r>
            <w:r>
              <w:rPr>
                <w:color w:val="FF0000"/>
              </w:rPr>
              <w:t>11 312 373,90</w:t>
            </w:r>
          </w:p>
        </w:tc>
        <w:tc>
          <w:tcPr>
            <w:tcW w:w="1787"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C03A59">
            <w:pPr>
              <w:suppressAutoHyphens/>
              <w:jc w:val="right"/>
            </w:pPr>
            <w:r w:rsidRPr="00EF52F6">
              <w:rPr>
                <w:strike/>
                <w:color w:val="FF0000"/>
              </w:rPr>
              <w:t>11 046 200,40</w:t>
            </w:r>
            <w:r>
              <w:rPr>
                <w:strike/>
                <w:color w:val="FF0000"/>
              </w:rPr>
              <w:t xml:space="preserve"> </w:t>
            </w:r>
            <w:r>
              <w:rPr>
                <w:color w:val="FF0000"/>
              </w:rPr>
              <w:t>11 312 373,90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B97962" w:rsidRDefault="006929BC" w:rsidP="00433F33">
            <w:pPr>
              <w:suppressAutoHyphens/>
              <w:jc w:val="right"/>
            </w:pPr>
            <w:r w:rsidRPr="00B97962">
              <w:t>5 645 540,01</w:t>
            </w:r>
          </w:p>
        </w:tc>
        <w:tc>
          <w:tcPr>
            <w:tcW w:w="1709" w:type="dxa"/>
            <w:tcBorders>
              <w:top w:val="single" w:sz="12" w:space="0" w:color="auto"/>
              <w:bottom w:val="single" w:sz="4" w:space="0" w:color="auto"/>
            </w:tcBorders>
            <w:vAlign w:val="center"/>
          </w:tcPr>
          <w:p w:rsidR="006929BC" w:rsidRPr="00B97962" w:rsidRDefault="006929BC" w:rsidP="00433F33">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8 872 450,12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3" w:name="_Toc452645501"/>
      <w:r w:rsidRPr="00C2003D">
        <w:rPr>
          <w:rFonts w:ascii="Times New Roman" w:hAnsi="Times New Roman" w:cs="Times New Roman"/>
          <w:sz w:val="22"/>
          <w:szCs w:val="22"/>
        </w:rPr>
        <w:lastRenderedPageBreak/>
        <w:t>Plan komunikacji</w:t>
      </w:r>
      <w:bookmarkEnd w:id="63"/>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4" w:name="_Toc442207826"/>
      <w:r w:rsidRPr="00121A1E">
        <w:rPr>
          <w:rFonts w:ascii="Times New Roman" w:hAnsi="Times New Roman" w:cs="Times New Roman"/>
          <w:b/>
          <w:lang w:eastAsia="pl-PL"/>
        </w:rPr>
        <w:t>Plan komunikacyjny</w:t>
      </w:r>
      <w:bookmarkEnd w:id="64"/>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uczestników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606060">
              <w:rPr>
                <w:rFonts w:ascii="Times New Roman" w:eastAsia="Calibri" w:hAnsi="Times New Roman" w:cs="Times New Roman"/>
                <w:kern w:val="3"/>
                <w:lang w:eastAsia="pl-PL"/>
              </w:rPr>
              <w:t>mid</w:t>
            </w:r>
            <w:proofErr w:type="spellEnd"/>
            <w:r w:rsidRPr="00606060">
              <w:rPr>
                <w:rFonts w:ascii="Times New Roman" w:eastAsia="Calibri" w:hAnsi="Times New Roman" w:cs="Times New Roman"/>
                <w:kern w:val="3"/>
                <w:lang w:eastAsia="pl-PL"/>
              </w:rPr>
              <w:t>-term i ex-post</w:t>
            </w:r>
            <w:r w:rsidR="00A2443E" w:rsidRPr="00A2443E">
              <w:rPr>
                <w:rFonts w:ascii="Times New Roman" w:eastAsia="Calibri" w:hAnsi="Times New Roman" w:cs="Times New Roman"/>
                <w:color w:val="FF0000"/>
                <w:kern w:val="3"/>
                <w:lang w:eastAsia="pl-PL"/>
              </w:rPr>
              <w:t xml:space="preserve"> </w:t>
            </w:r>
            <w:r w:rsidR="00A2443E">
              <w:rPr>
                <w:rFonts w:ascii="Times New Roman" w:eastAsia="Calibri" w:hAnsi="Times New Roman" w:cs="Times New Roman"/>
                <w:color w:val="FF0000"/>
                <w:kern w:val="3"/>
                <w:lang w:eastAsia="pl-PL"/>
              </w:rPr>
              <w:t xml:space="preserve">oraz </w:t>
            </w:r>
            <w:r w:rsidR="00A2443E" w:rsidRPr="00A2443E">
              <w:rPr>
                <w:rFonts w:ascii="Times New Roman" w:eastAsia="Calibri" w:hAnsi="Times New Roman" w:cs="Times New Roman"/>
                <w:color w:val="FF0000"/>
                <w:kern w:val="3"/>
                <w:lang w:eastAsia="pl-PL"/>
              </w:rPr>
              <w:t>on-</w:t>
            </w:r>
            <w:proofErr w:type="spellStart"/>
            <w:r w:rsidR="00A2443E" w:rsidRPr="00A2443E">
              <w:rPr>
                <w:rFonts w:ascii="Times New Roman" w:eastAsia="Calibri" w:hAnsi="Times New Roman" w:cs="Times New Roman"/>
                <w:color w:val="FF0000"/>
                <w:kern w:val="3"/>
                <w:lang w:eastAsia="pl-PL"/>
              </w:rPr>
              <w:t>goig</w:t>
            </w:r>
            <w:proofErr w:type="spellEnd"/>
            <w:r w:rsidR="00A2443E" w:rsidRPr="00A2443E">
              <w:rPr>
                <w:rFonts w:ascii="Times New Roman" w:eastAsia="Calibri" w:hAnsi="Times New Roman" w:cs="Times New Roman"/>
                <w:color w:val="FF0000"/>
                <w:kern w:val="3"/>
                <w:lang w:eastAsia="pl-PL"/>
              </w:rPr>
              <w:t xml:space="preserve"> od 2018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wnioskodawc</w:t>
            </w:r>
            <w:r w:rsidR="00565AE8">
              <w:rPr>
                <w:rFonts w:ascii="Times New Roman" w:eastAsia="Calibri" w:hAnsi="Times New Roman" w:cs="Times New Roman"/>
                <w:kern w:val="3"/>
                <w:lang w:eastAsia="pl-PL"/>
              </w:rPr>
              <w:t xml:space="preserve">ów w czasie ewaluacji </w:t>
            </w:r>
            <w:proofErr w:type="spellStart"/>
            <w:r w:rsidR="00565AE8">
              <w:rPr>
                <w:rFonts w:ascii="Times New Roman" w:eastAsia="Calibri" w:hAnsi="Times New Roman" w:cs="Times New Roman"/>
                <w:kern w:val="3"/>
                <w:lang w:eastAsia="pl-PL"/>
              </w:rPr>
              <w:t>mid</w:t>
            </w:r>
            <w:proofErr w:type="spellEnd"/>
            <w:r w:rsidR="00565AE8">
              <w:rPr>
                <w:rFonts w:ascii="Times New Roman" w:eastAsia="Calibri" w:hAnsi="Times New Roman" w:cs="Times New Roman"/>
                <w:kern w:val="3"/>
                <w:lang w:eastAsia="pl-PL"/>
              </w:rPr>
              <w:t>-term,</w:t>
            </w:r>
            <w:r w:rsidRPr="00606060">
              <w:rPr>
                <w:rFonts w:ascii="Times New Roman" w:eastAsia="Calibri" w:hAnsi="Times New Roman" w:cs="Times New Roman"/>
                <w:kern w:val="3"/>
                <w:lang w:eastAsia="pl-PL"/>
              </w:rPr>
              <w:t xml:space="preserve"> ex-post</w:t>
            </w:r>
            <w:r w:rsidR="00A2443E">
              <w:rPr>
                <w:rFonts w:ascii="Times New Roman" w:eastAsia="Calibri" w:hAnsi="Times New Roman" w:cs="Times New Roman"/>
                <w:kern w:val="3"/>
                <w:lang w:eastAsia="pl-PL"/>
              </w:rPr>
              <w:t xml:space="preserve"> oraz </w:t>
            </w:r>
            <w:r w:rsidR="00A2443E" w:rsidRPr="00A2443E">
              <w:rPr>
                <w:rFonts w:ascii="Times New Roman" w:eastAsia="Calibri" w:hAnsi="Times New Roman" w:cs="Times New Roman"/>
                <w:color w:val="FF0000"/>
                <w:kern w:val="3"/>
                <w:lang w:eastAsia="pl-PL"/>
              </w:rPr>
              <w:t>on-</w:t>
            </w:r>
            <w:proofErr w:type="spellStart"/>
            <w:r w:rsidR="00A2443E" w:rsidRPr="00A2443E">
              <w:rPr>
                <w:rFonts w:ascii="Times New Roman" w:eastAsia="Calibri" w:hAnsi="Times New Roman" w:cs="Times New Roman"/>
                <w:color w:val="FF0000"/>
                <w:kern w:val="3"/>
                <w:lang w:eastAsia="pl-PL"/>
              </w:rPr>
              <w:t>goig</w:t>
            </w:r>
            <w:proofErr w:type="spellEnd"/>
            <w:r w:rsidR="00A2443E" w:rsidRPr="00A2443E">
              <w:rPr>
                <w:rFonts w:ascii="Times New Roman" w:eastAsia="Calibri" w:hAnsi="Times New Roman" w:cs="Times New Roman"/>
                <w:color w:val="FF0000"/>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informacji opublikowanych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72 spotkania  informacyjno-konsultacyjne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750 osób zadowolonych ze spotkań przeprowadzonych przez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osób pozytywnie oceniających doradztwo w biurze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750 wypełnionych ankiet w czasie badań ilościowych w ramach ewaluacji </w:t>
            </w:r>
            <w:proofErr w:type="spellStart"/>
            <w:r w:rsidRPr="00606060">
              <w:rPr>
                <w:rFonts w:ascii="Times New Roman" w:eastAsia="Calibri" w:hAnsi="Times New Roman" w:cs="Times New Roman"/>
                <w:kern w:val="3"/>
                <w:lang w:eastAsia="pl-PL"/>
              </w:rPr>
              <w:t>mid</w:t>
            </w:r>
            <w:proofErr w:type="spellEnd"/>
            <w:r w:rsidRPr="00606060">
              <w:rPr>
                <w:rFonts w:ascii="Times New Roman" w:eastAsia="Calibri" w:hAnsi="Times New Roman" w:cs="Times New Roman"/>
                <w:kern w:val="3"/>
                <w:lang w:eastAsia="pl-PL"/>
              </w:rPr>
              <w:t>-term i ex-post</w:t>
            </w:r>
            <w:r w:rsidR="00A2443E">
              <w:rPr>
                <w:rFonts w:ascii="Times New Roman" w:eastAsia="Calibri" w:hAnsi="Times New Roman" w:cs="Times New Roman"/>
                <w:kern w:val="3"/>
                <w:lang w:eastAsia="pl-PL"/>
              </w:rPr>
              <w:t xml:space="preserve"> </w:t>
            </w:r>
            <w:r w:rsidR="00A2443E">
              <w:rPr>
                <w:rFonts w:ascii="Times New Roman" w:eastAsia="Calibri" w:hAnsi="Times New Roman" w:cs="Times New Roman"/>
                <w:color w:val="FF0000"/>
                <w:kern w:val="3"/>
                <w:lang w:eastAsia="pl-PL"/>
              </w:rPr>
              <w:t xml:space="preserve">oraz </w:t>
            </w:r>
            <w:r w:rsidR="00A2443E" w:rsidRPr="00A2443E">
              <w:rPr>
                <w:rFonts w:ascii="Times New Roman" w:eastAsia="Calibri" w:hAnsi="Times New Roman" w:cs="Times New Roman"/>
                <w:color w:val="FF0000"/>
                <w:kern w:val="3"/>
                <w:lang w:eastAsia="pl-PL"/>
              </w:rPr>
              <w:t>on-</w:t>
            </w:r>
            <w:proofErr w:type="spellStart"/>
            <w:r w:rsidR="00A2443E" w:rsidRPr="00A2443E">
              <w:rPr>
                <w:rFonts w:ascii="Times New Roman" w:eastAsia="Calibri" w:hAnsi="Times New Roman" w:cs="Times New Roman"/>
                <w:color w:val="FF0000"/>
                <w:kern w:val="3"/>
                <w:lang w:eastAsia="pl-PL"/>
              </w:rPr>
              <w:t>goig</w:t>
            </w:r>
            <w:proofErr w:type="spellEnd"/>
            <w:r w:rsidR="00A2443E" w:rsidRPr="00A2443E">
              <w:rPr>
                <w:rFonts w:ascii="Times New Roman" w:eastAsia="Calibri" w:hAnsi="Times New Roman" w:cs="Times New Roman"/>
                <w:color w:val="FF0000"/>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5"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5"/>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Drugim poziomem oceny efektywności działań komunikacyjnych będzie zbieranie informacji zwrotnych na ich temat od mieszkańców obszaru LGD. Kluczowe znaczenie będą miały tu badania ankietowe oraz spotkania informacyjno-konsultacyjne prowadzone w ramach monitoringu. Działania te także zostały uwzględnione w powyższym planie komunikacyjnym. Należy zwrócić uwagę, że w okresie prowadzenia ewaluacji</w:t>
      </w:r>
      <w:r w:rsidR="00565AE8" w:rsidRPr="00565AE8">
        <w:rPr>
          <w:rFonts w:ascii="Times New Roman" w:eastAsia="SimSun" w:hAnsi="Times New Roman" w:cs="Mangal"/>
          <w:color w:val="FF0000"/>
          <w:kern w:val="3"/>
          <w:lang w:eastAsia="zh-CN" w:bidi="hi-IN"/>
        </w:rPr>
        <w:t xml:space="preserve"> </w:t>
      </w:r>
      <w:r w:rsidR="00565AE8" w:rsidRPr="00DC5F1A">
        <w:rPr>
          <w:rFonts w:ascii="Times New Roman" w:eastAsia="SimSun" w:hAnsi="Times New Roman" w:cs="Mangal"/>
          <w:color w:val="FF0000"/>
          <w:kern w:val="3"/>
          <w:lang w:eastAsia="zh-CN" w:bidi="hi-IN"/>
        </w:rPr>
        <w:t>on-</w:t>
      </w:r>
      <w:proofErr w:type="spellStart"/>
      <w:r w:rsidR="00565AE8" w:rsidRPr="00DC5F1A">
        <w:rPr>
          <w:rFonts w:ascii="Times New Roman" w:eastAsia="SimSun" w:hAnsi="Times New Roman" w:cs="Mangal"/>
          <w:color w:val="FF0000"/>
          <w:kern w:val="3"/>
          <w:lang w:eastAsia="zh-CN" w:bidi="hi-IN"/>
        </w:rPr>
        <w:t>going</w:t>
      </w:r>
      <w:proofErr w:type="spellEnd"/>
      <w:r w:rsidR="00565AE8">
        <w:rPr>
          <w:rFonts w:ascii="Times New Roman" w:eastAsia="SimSun" w:hAnsi="Times New Roman" w:cs="Mangal"/>
          <w:color w:val="FF0000"/>
          <w:kern w:val="3"/>
          <w:lang w:eastAsia="zh-CN" w:bidi="hi-IN"/>
        </w:rPr>
        <w:t>,</w:t>
      </w:r>
      <w:r w:rsidR="00565AE8">
        <w:rPr>
          <w:rFonts w:ascii="Times New Roman" w:eastAsia="Calibri" w:hAnsi="Times New Roman" w:cs="Times New Roman"/>
          <w:kern w:val="3"/>
          <w:lang w:eastAsia="pl-PL"/>
        </w:rPr>
        <w:t xml:space="preserve"> </w:t>
      </w:r>
      <w:r w:rsidRPr="00DA3854">
        <w:rPr>
          <w:rFonts w:ascii="Times New Roman" w:eastAsia="Calibri" w:hAnsi="Times New Roman" w:cs="Times New Roman"/>
          <w:kern w:val="3"/>
          <w:lang w:eastAsia="pl-PL"/>
        </w:rPr>
        <w:t xml:space="preserve"> </w:t>
      </w:r>
      <w:proofErr w:type="spellStart"/>
      <w:r w:rsidRPr="00DA3854">
        <w:rPr>
          <w:rFonts w:ascii="Times New Roman" w:eastAsia="Calibri" w:hAnsi="Times New Roman" w:cs="Times New Roman"/>
          <w:kern w:val="3"/>
          <w:lang w:eastAsia="pl-PL"/>
        </w:rPr>
        <w:t>mid</w:t>
      </w:r>
      <w:proofErr w:type="spellEnd"/>
      <w:r w:rsidRPr="00DA3854">
        <w:rPr>
          <w:rFonts w:ascii="Times New Roman" w:eastAsia="Calibri" w:hAnsi="Times New Roman" w:cs="Times New Roman"/>
          <w:kern w:val="3"/>
          <w:lang w:eastAsia="pl-PL"/>
        </w:rPr>
        <w:t xml:space="preserve">-term oraz ex-post badania ankietowe będę realizowane w rozbudowanej formie. Ważnym sposobem pozyskiwania informacji zwrotnych będą spotkania informacyjno-konsultacyjne, które </w:t>
      </w:r>
      <w:r w:rsidRPr="00565AE8">
        <w:rPr>
          <w:rFonts w:ascii="Times New Roman" w:eastAsia="Calibri" w:hAnsi="Times New Roman" w:cs="Times New Roman"/>
          <w:strike/>
          <w:color w:val="FF0000"/>
          <w:kern w:val="3"/>
          <w:lang w:eastAsia="pl-PL"/>
        </w:rPr>
        <w:t>co roku</w:t>
      </w:r>
      <w:r w:rsidRPr="00565AE8">
        <w:rPr>
          <w:rFonts w:ascii="Times New Roman" w:eastAsia="Calibri" w:hAnsi="Times New Roman" w:cs="Times New Roman"/>
          <w:color w:val="FF0000"/>
          <w:kern w:val="3"/>
          <w:lang w:eastAsia="pl-PL"/>
        </w:rPr>
        <w:t xml:space="preserve"> </w:t>
      </w:r>
      <w:r w:rsidRPr="00DA3854">
        <w:rPr>
          <w:rFonts w:ascii="Times New Roman" w:eastAsia="Calibri" w:hAnsi="Times New Roman" w:cs="Times New Roman"/>
          <w:kern w:val="3"/>
          <w:lang w:eastAsia="pl-PL"/>
        </w:rPr>
        <w:t>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Pr>
          <w:rFonts w:ascii="Times New Roman" w:eastAsia="Calibri" w:hAnsi="Times New Roman" w:cs="Times New Roman"/>
          <w:kern w:val="3"/>
          <w:lang w:eastAsia="pl-PL"/>
        </w:rPr>
        <w:t xml:space="preserve"> </w:t>
      </w:r>
      <w:r w:rsidR="00565AE8" w:rsidRPr="00565AE8">
        <w:rPr>
          <w:rFonts w:ascii="Times New Roman" w:eastAsia="Calibri" w:hAnsi="Times New Roman" w:cs="Times New Roman"/>
          <w:color w:val="FF0000"/>
          <w:kern w:val="3"/>
          <w:lang w:eastAsia="pl-PL"/>
        </w:rPr>
        <w:t>(warsztaty refleksyjne</w:t>
      </w:r>
      <w:r w:rsidR="00565AE8">
        <w:rPr>
          <w:rFonts w:ascii="Times New Roman" w:eastAsia="Calibri" w:hAnsi="Times New Roman" w:cs="Times New Roman"/>
          <w:kern w:val="3"/>
          <w:lang w:eastAsia="pl-PL"/>
        </w:rPr>
        <w:t>)</w:t>
      </w:r>
      <w:r w:rsidRPr="00DA3854">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565AE8">
        <w:rPr>
          <w:rFonts w:ascii="Times New Roman" w:eastAsia="Calibri" w:hAnsi="Times New Roman" w:cs="Times New Roman"/>
          <w:color w:val="FF0000"/>
          <w:kern w:val="3"/>
          <w:lang w:eastAsia="pl-PL"/>
        </w:rPr>
        <w:t>, (począwszy od 2017 roku)</w:t>
      </w:r>
      <w:r w:rsidRPr="00DA3854">
        <w:rPr>
          <w:rFonts w:ascii="Times New Roman" w:eastAsia="Calibri" w:hAnsi="Times New Roman" w:cs="Times New Roman"/>
          <w:kern w:val="3"/>
          <w:lang w:eastAsia="pl-PL"/>
        </w:rPr>
        <w:t xml:space="preserve"> przygotowywany będzie </w:t>
      </w:r>
      <w:r w:rsidRPr="00565AE8">
        <w:rPr>
          <w:rFonts w:ascii="Times New Roman" w:eastAsia="Calibri" w:hAnsi="Times New Roman" w:cs="Times New Roman"/>
          <w:strike/>
          <w:color w:val="FF0000"/>
          <w:kern w:val="3"/>
          <w:lang w:eastAsia="pl-PL"/>
        </w:rPr>
        <w:t>przez wyznaczonego pracownika biura LGD</w:t>
      </w:r>
      <w:r w:rsidRPr="00565AE8">
        <w:rPr>
          <w:rFonts w:ascii="Times New Roman" w:eastAsia="Calibri" w:hAnsi="Times New Roman" w:cs="Times New Roman"/>
          <w:color w:val="FF0000"/>
          <w:kern w:val="3"/>
          <w:lang w:eastAsia="pl-PL"/>
        </w:rPr>
        <w:t xml:space="preserve"> </w:t>
      </w:r>
      <w:r w:rsidRPr="00DA3854">
        <w:rPr>
          <w:rFonts w:ascii="Times New Roman" w:eastAsia="Calibri" w:hAnsi="Times New Roman" w:cs="Times New Roman"/>
          <w:kern w:val="3"/>
          <w:lang w:eastAsia="pl-PL"/>
        </w:rPr>
        <w:t>raport z monitoringu, który będzie przedstawiany Zarządowi. Raport będzie obowiązkowo zawierał informacje na temat wyników badań ankietowych oraz efektów spotkań informacyjno-konsultacyjnych</w:t>
      </w:r>
      <w:r w:rsidR="00565AE8">
        <w:rPr>
          <w:rFonts w:ascii="Times New Roman" w:eastAsia="Calibri" w:hAnsi="Times New Roman" w:cs="Times New Roman"/>
          <w:kern w:val="3"/>
          <w:lang w:eastAsia="pl-PL"/>
        </w:rPr>
        <w:t xml:space="preserve"> </w:t>
      </w:r>
      <w:r w:rsidR="00565AE8" w:rsidRPr="00565AE8">
        <w:rPr>
          <w:rFonts w:ascii="Times New Roman" w:eastAsia="Calibri" w:hAnsi="Times New Roman" w:cs="Times New Roman"/>
          <w:color w:val="FF0000"/>
          <w:kern w:val="3"/>
          <w:lang w:eastAsia="pl-PL"/>
        </w:rPr>
        <w:t>(warsztatów refleksyjnych)</w:t>
      </w:r>
      <w:r w:rsidRPr="00DA3854">
        <w:rPr>
          <w:rFonts w:ascii="Times New Roman" w:eastAsia="Calibri" w:hAnsi="Times New Roman" w:cs="Times New Roman"/>
          <w:kern w:val="3"/>
          <w:lang w:eastAsia="pl-PL"/>
        </w:rPr>
        <w:t>. W latach gdy prowadzona będzie ewaluacja</w:t>
      </w:r>
      <w:r w:rsidR="00565AE8" w:rsidRPr="00565AE8">
        <w:rPr>
          <w:rFonts w:ascii="Times New Roman" w:eastAsia="SimSun" w:hAnsi="Times New Roman" w:cs="Mangal"/>
          <w:color w:val="FF0000"/>
          <w:kern w:val="3"/>
          <w:lang w:eastAsia="zh-CN" w:bidi="hi-IN"/>
        </w:rPr>
        <w:t xml:space="preserve"> </w:t>
      </w:r>
      <w:r w:rsidR="00565AE8" w:rsidRPr="00DC5F1A">
        <w:rPr>
          <w:rFonts w:ascii="Times New Roman" w:eastAsia="SimSun" w:hAnsi="Times New Roman" w:cs="Mangal"/>
          <w:color w:val="FF0000"/>
          <w:kern w:val="3"/>
          <w:lang w:eastAsia="zh-CN" w:bidi="hi-IN"/>
        </w:rPr>
        <w:t>on-</w:t>
      </w:r>
      <w:proofErr w:type="spellStart"/>
      <w:r w:rsidR="00565AE8" w:rsidRPr="00DC5F1A">
        <w:rPr>
          <w:rFonts w:ascii="Times New Roman" w:eastAsia="SimSun" w:hAnsi="Times New Roman" w:cs="Mangal"/>
          <w:color w:val="FF0000"/>
          <w:kern w:val="3"/>
          <w:lang w:eastAsia="zh-CN" w:bidi="hi-IN"/>
        </w:rPr>
        <w:t>going</w:t>
      </w:r>
      <w:proofErr w:type="spellEnd"/>
      <w:r w:rsidR="00565AE8">
        <w:rPr>
          <w:rFonts w:ascii="Times New Roman" w:eastAsia="SimSun" w:hAnsi="Times New Roman" w:cs="Mangal"/>
          <w:color w:val="FF0000"/>
          <w:kern w:val="3"/>
          <w:lang w:eastAsia="zh-CN" w:bidi="hi-IN"/>
        </w:rPr>
        <w:t>,</w:t>
      </w:r>
      <w:r w:rsidRPr="00DA3854">
        <w:rPr>
          <w:rFonts w:ascii="Times New Roman" w:eastAsia="Calibri" w:hAnsi="Times New Roman" w:cs="Times New Roman"/>
          <w:kern w:val="3"/>
          <w:lang w:eastAsia="pl-PL"/>
        </w:rPr>
        <w:t xml:space="preserve"> </w:t>
      </w:r>
      <w:proofErr w:type="spellStart"/>
      <w:r w:rsidRPr="00DA3854">
        <w:rPr>
          <w:rFonts w:ascii="Times New Roman" w:eastAsia="Calibri" w:hAnsi="Times New Roman" w:cs="Times New Roman"/>
          <w:kern w:val="3"/>
          <w:lang w:eastAsia="pl-PL"/>
        </w:rPr>
        <w:t>mid</w:t>
      </w:r>
      <w:proofErr w:type="spellEnd"/>
      <w:r w:rsidRPr="00DA3854">
        <w:rPr>
          <w:rFonts w:ascii="Times New Roman" w:eastAsia="Calibri" w:hAnsi="Times New Roman" w:cs="Times New Roman"/>
          <w:kern w:val="3"/>
          <w:lang w:eastAsia="pl-PL"/>
        </w:rPr>
        <w:t>-term i ex-post raport z monitoringu będzie częścią raportu ewaluacyjnego. W przypadku sformułowania przez mieszkańców rekomendacji odnośnie zmian 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6" w:name="_Toc442207828"/>
      <w:r w:rsidRPr="00BD120F">
        <w:rPr>
          <w:rFonts w:ascii="Times New Roman" w:hAnsi="Times New Roman" w:cs="Times New Roman"/>
          <w:b/>
          <w:color w:val="0070C0"/>
          <w:lang w:eastAsia="pl-PL"/>
        </w:rPr>
        <w:t>Opis budżetu przewidzianego na działania komunikacyjne</w:t>
      </w:r>
      <w:bookmarkEnd w:id="66"/>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Pr="00E906AC" w:rsidRDefault="00E906AC" w:rsidP="00952ECB">
      <w:pPr>
        <w:jc w:val="center"/>
        <w:rPr>
          <w:rFonts w:asciiTheme="majorBidi" w:hAnsiTheme="majorBidi" w:cstheme="majorBidi"/>
          <w:i/>
          <w:iCs/>
          <w:color w:val="FF0000"/>
        </w:rPr>
      </w:pPr>
      <w:r w:rsidRPr="00E906AC">
        <w:rPr>
          <w:rFonts w:asciiTheme="majorBidi" w:hAnsiTheme="majorBidi" w:cstheme="majorBidi"/>
          <w:i/>
          <w:iCs/>
          <w:color w:val="FF0000"/>
        </w:rPr>
        <w:t>Tekst jednolity po zmianach przyjęty  Uchwałą Zarządu w dniu …………..2018r.</w:t>
      </w:r>
    </w:p>
    <w:sectPr w:rsidR="00E906AC" w:rsidRPr="00E906AC"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42" w:rsidRDefault="00DD2A42" w:rsidP="009E615C">
      <w:pPr>
        <w:spacing w:after="0" w:line="240" w:lineRule="auto"/>
      </w:pPr>
      <w:r>
        <w:separator/>
      </w:r>
    </w:p>
  </w:endnote>
  <w:endnote w:type="continuationSeparator" w:id="0">
    <w:p w:rsidR="00DD2A42" w:rsidRDefault="00DD2A42"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Content>
      <w:p w:rsidR="00C53620" w:rsidRDefault="00C53620">
        <w:pPr>
          <w:pStyle w:val="Stopka"/>
          <w:jc w:val="center"/>
        </w:pPr>
        <w:r>
          <w:fldChar w:fldCharType="begin"/>
        </w:r>
        <w:r>
          <w:instrText>PAGE   \* MERGEFORMAT</w:instrText>
        </w:r>
        <w:r>
          <w:fldChar w:fldCharType="separate"/>
        </w:r>
        <w:r>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Content>
      <w:p w:rsidR="00C53620" w:rsidRDefault="00C53620">
        <w:pPr>
          <w:pStyle w:val="Stopka"/>
          <w:jc w:val="center"/>
        </w:pPr>
        <w:r>
          <w:fldChar w:fldCharType="begin"/>
        </w:r>
        <w:r>
          <w:instrText>PAGE   \* MERGEFORMAT</w:instrText>
        </w:r>
        <w:r>
          <w:fldChar w:fldCharType="separate"/>
        </w:r>
        <w:r w:rsidR="008D4213">
          <w:rPr>
            <w:noProof/>
          </w:rPr>
          <w:t>30</w:t>
        </w:r>
        <w:r>
          <w:fldChar w:fldCharType="end"/>
        </w:r>
      </w:p>
    </w:sdtContent>
  </w:sdt>
  <w:p w:rsidR="00C53620" w:rsidRDefault="00C536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Content>
      <w:p w:rsidR="00C53620" w:rsidRDefault="00C53620" w:rsidP="001E7922">
        <w:pPr>
          <w:pStyle w:val="Stopka"/>
          <w:jc w:val="center"/>
        </w:pPr>
        <w:r>
          <w:fldChar w:fldCharType="begin"/>
        </w:r>
        <w:r>
          <w:instrText>PAGE   \* MERGEFORMAT</w:instrText>
        </w:r>
        <w:r>
          <w:fldChar w:fldCharType="separate"/>
        </w:r>
        <w:r>
          <w:rPr>
            <w:noProof/>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42" w:rsidRDefault="00DD2A42" w:rsidP="009E615C">
      <w:pPr>
        <w:spacing w:after="0" w:line="240" w:lineRule="auto"/>
      </w:pPr>
      <w:r>
        <w:separator/>
      </w:r>
    </w:p>
  </w:footnote>
  <w:footnote w:type="continuationSeparator" w:id="0">
    <w:p w:rsidR="00DD2A42" w:rsidRDefault="00DD2A42"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Content>
      <w:p w:rsidR="00C53620" w:rsidRPr="00851FB0" w:rsidRDefault="00C53620">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C53620" w:rsidRDefault="00C536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Content>
      <w:p w:rsidR="00C53620" w:rsidRPr="00EE7260" w:rsidRDefault="00C5362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C53620" w:rsidRDefault="00C53620">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Content>
      <w:p w:rsidR="00C53620" w:rsidRPr="00606060" w:rsidRDefault="00C53620"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AEBE5D3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715D"/>
    <w:rsid w:val="0002293B"/>
    <w:rsid w:val="000329E6"/>
    <w:rsid w:val="000453B9"/>
    <w:rsid w:val="000454A0"/>
    <w:rsid w:val="0005325D"/>
    <w:rsid w:val="00053F6F"/>
    <w:rsid w:val="000908FC"/>
    <w:rsid w:val="00090BE7"/>
    <w:rsid w:val="00093830"/>
    <w:rsid w:val="000A607D"/>
    <w:rsid w:val="000D1D4D"/>
    <w:rsid w:val="000D2FEC"/>
    <w:rsid w:val="000D3040"/>
    <w:rsid w:val="000E553D"/>
    <w:rsid w:val="000E6150"/>
    <w:rsid w:val="00112E9F"/>
    <w:rsid w:val="00121A1E"/>
    <w:rsid w:val="00124F7C"/>
    <w:rsid w:val="00127236"/>
    <w:rsid w:val="00132B27"/>
    <w:rsid w:val="00133097"/>
    <w:rsid w:val="001377A4"/>
    <w:rsid w:val="0014712C"/>
    <w:rsid w:val="00147A8A"/>
    <w:rsid w:val="0016449D"/>
    <w:rsid w:val="001871BE"/>
    <w:rsid w:val="00196E78"/>
    <w:rsid w:val="001A222D"/>
    <w:rsid w:val="001B5708"/>
    <w:rsid w:val="001C3DF7"/>
    <w:rsid w:val="001D25C7"/>
    <w:rsid w:val="001E2635"/>
    <w:rsid w:val="001E78BB"/>
    <w:rsid w:val="001E7922"/>
    <w:rsid w:val="002260A0"/>
    <w:rsid w:val="002336E1"/>
    <w:rsid w:val="0023548E"/>
    <w:rsid w:val="00235778"/>
    <w:rsid w:val="0024210D"/>
    <w:rsid w:val="002466DF"/>
    <w:rsid w:val="0025478F"/>
    <w:rsid w:val="002A4095"/>
    <w:rsid w:val="002C2633"/>
    <w:rsid w:val="002E06D8"/>
    <w:rsid w:val="003042E0"/>
    <w:rsid w:val="003129A5"/>
    <w:rsid w:val="00327BB6"/>
    <w:rsid w:val="00330E6E"/>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601D7"/>
    <w:rsid w:val="00461487"/>
    <w:rsid w:val="00472CA0"/>
    <w:rsid w:val="00480560"/>
    <w:rsid w:val="00490F49"/>
    <w:rsid w:val="004A00AE"/>
    <w:rsid w:val="004A07F2"/>
    <w:rsid w:val="004A2D2B"/>
    <w:rsid w:val="004A73B7"/>
    <w:rsid w:val="004D7339"/>
    <w:rsid w:val="004E1301"/>
    <w:rsid w:val="004F636A"/>
    <w:rsid w:val="004F6FC3"/>
    <w:rsid w:val="0050069D"/>
    <w:rsid w:val="005150B2"/>
    <w:rsid w:val="005405C1"/>
    <w:rsid w:val="005451F2"/>
    <w:rsid w:val="00565AE8"/>
    <w:rsid w:val="00567B8F"/>
    <w:rsid w:val="00573E4F"/>
    <w:rsid w:val="00586AE4"/>
    <w:rsid w:val="00595A35"/>
    <w:rsid w:val="005A23BC"/>
    <w:rsid w:val="005A3F77"/>
    <w:rsid w:val="005C2A6A"/>
    <w:rsid w:val="005C40BD"/>
    <w:rsid w:val="005D08A6"/>
    <w:rsid w:val="005E458F"/>
    <w:rsid w:val="00606060"/>
    <w:rsid w:val="00620C63"/>
    <w:rsid w:val="00637AD9"/>
    <w:rsid w:val="006534A2"/>
    <w:rsid w:val="0066562D"/>
    <w:rsid w:val="00684F57"/>
    <w:rsid w:val="006929BC"/>
    <w:rsid w:val="006B1B48"/>
    <w:rsid w:val="006B1D9A"/>
    <w:rsid w:val="006B2949"/>
    <w:rsid w:val="006C1032"/>
    <w:rsid w:val="006C6C91"/>
    <w:rsid w:val="006D55BF"/>
    <w:rsid w:val="006D5E5A"/>
    <w:rsid w:val="00700808"/>
    <w:rsid w:val="0070602E"/>
    <w:rsid w:val="00706F13"/>
    <w:rsid w:val="00715BAE"/>
    <w:rsid w:val="00723C0C"/>
    <w:rsid w:val="00742344"/>
    <w:rsid w:val="00762ABA"/>
    <w:rsid w:val="007853A8"/>
    <w:rsid w:val="00794B8F"/>
    <w:rsid w:val="007A28B4"/>
    <w:rsid w:val="007A2B14"/>
    <w:rsid w:val="007B45DE"/>
    <w:rsid w:val="007F54D2"/>
    <w:rsid w:val="007F6E20"/>
    <w:rsid w:val="00805B72"/>
    <w:rsid w:val="0081546A"/>
    <w:rsid w:val="00825910"/>
    <w:rsid w:val="00826527"/>
    <w:rsid w:val="00840469"/>
    <w:rsid w:val="00842385"/>
    <w:rsid w:val="00864F56"/>
    <w:rsid w:val="00867CC0"/>
    <w:rsid w:val="008B00B2"/>
    <w:rsid w:val="008B21EE"/>
    <w:rsid w:val="008B4299"/>
    <w:rsid w:val="008D2750"/>
    <w:rsid w:val="008D4213"/>
    <w:rsid w:val="008F1D6C"/>
    <w:rsid w:val="00905B4D"/>
    <w:rsid w:val="009129E8"/>
    <w:rsid w:val="0094232F"/>
    <w:rsid w:val="00952809"/>
    <w:rsid w:val="00952ECB"/>
    <w:rsid w:val="00992026"/>
    <w:rsid w:val="009A4BBD"/>
    <w:rsid w:val="009B57F6"/>
    <w:rsid w:val="009C17D0"/>
    <w:rsid w:val="009C17E4"/>
    <w:rsid w:val="009C6805"/>
    <w:rsid w:val="009D0F2A"/>
    <w:rsid w:val="009D5A7E"/>
    <w:rsid w:val="009D7D78"/>
    <w:rsid w:val="009E362B"/>
    <w:rsid w:val="009E615C"/>
    <w:rsid w:val="009F177C"/>
    <w:rsid w:val="00A01A1B"/>
    <w:rsid w:val="00A2443E"/>
    <w:rsid w:val="00A31A4B"/>
    <w:rsid w:val="00A328B2"/>
    <w:rsid w:val="00A43043"/>
    <w:rsid w:val="00A50623"/>
    <w:rsid w:val="00A61489"/>
    <w:rsid w:val="00A61518"/>
    <w:rsid w:val="00A7064A"/>
    <w:rsid w:val="00A80FDA"/>
    <w:rsid w:val="00A96729"/>
    <w:rsid w:val="00AA3528"/>
    <w:rsid w:val="00AB4BB9"/>
    <w:rsid w:val="00AB7F64"/>
    <w:rsid w:val="00AC11A5"/>
    <w:rsid w:val="00AD517B"/>
    <w:rsid w:val="00AE07C7"/>
    <w:rsid w:val="00B17241"/>
    <w:rsid w:val="00B2200E"/>
    <w:rsid w:val="00B2475B"/>
    <w:rsid w:val="00B71955"/>
    <w:rsid w:val="00B8287B"/>
    <w:rsid w:val="00B82A77"/>
    <w:rsid w:val="00B84E50"/>
    <w:rsid w:val="00B97962"/>
    <w:rsid w:val="00BA3321"/>
    <w:rsid w:val="00BA5A36"/>
    <w:rsid w:val="00BB4F32"/>
    <w:rsid w:val="00BC2A1F"/>
    <w:rsid w:val="00BC5629"/>
    <w:rsid w:val="00BC7C71"/>
    <w:rsid w:val="00BD120F"/>
    <w:rsid w:val="00BF1778"/>
    <w:rsid w:val="00C01D05"/>
    <w:rsid w:val="00C03A59"/>
    <w:rsid w:val="00C2003D"/>
    <w:rsid w:val="00C53620"/>
    <w:rsid w:val="00C77B13"/>
    <w:rsid w:val="00C8740D"/>
    <w:rsid w:val="00C92A54"/>
    <w:rsid w:val="00CA40FF"/>
    <w:rsid w:val="00CA4D2B"/>
    <w:rsid w:val="00CD7448"/>
    <w:rsid w:val="00CE7EEA"/>
    <w:rsid w:val="00CF1249"/>
    <w:rsid w:val="00D06D85"/>
    <w:rsid w:val="00D11B32"/>
    <w:rsid w:val="00D36F8E"/>
    <w:rsid w:val="00D92649"/>
    <w:rsid w:val="00DA3854"/>
    <w:rsid w:val="00DA7342"/>
    <w:rsid w:val="00DC5F1A"/>
    <w:rsid w:val="00DD2A42"/>
    <w:rsid w:val="00DF2F05"/>
    <w:rsid w:val="00E05CD9"/>
    <w:rsid w:val="00E454B1"/>
    <w:rsid w:val="00E47A6F"/>
    <w:rsid w:val="00E55A87"/>
    <w:rsid w:val="00E56B2B"/>
    <w:rsid w:val="00E6459F"/>
    <w:rsid w:val="00E816DD"/>
    <w:rsid w:val="00E8237E"/>
    <w:rsid w:val="00E85DE1"/>
    <w:rsid w:val="00E906AC"/>
    <w:rsid w:val="00E9592E"/>
    <w:rsid w:val="00EA1544"/>
    <w:rsid w:val="00EB1C03"/>
    <w:rsid w:val="00EB22F1"/>
    <w:rsid w:val="00EB5003"/>
    <w:rsid w:val="00EB6232"/>
    <w:rsid w:val="00EC76D0"/>
    <w:rsid w:val="00ED7AB3"/>
    <w:rsid w:val="00EE7260"/>
    <w:rsid w:val="00EF52F6"/>
    <w:rsid w:val="00EF6670"/>
    <w:rsid w:val="00F04959"/>
    <w:rsid w:val="00F07B8F"/>
    <w:rsid w:val="00F11B41"/>
    <w:rsid w:val="00F2264C"/>
    <w:rsid w:val="00F3329A"/>
    <w:rsid w:val="00F4282A"/>
    <w:rsid w:val="00F60A70"/>
    <w:rsid w:val="00F65877"/>
    <w:rsid w:val="00F67270"/>
    <w:rsid w:val="00F67A3C"/>
    <w:rsid w:val="00F8783A"/>
    <w:rsid w:val="00FA28DD"/>
    <w:rsid w:val="00FE0ADF"/>
    <w:rsid w:val="00FE78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ser>
        <c:dLbls>
          <c:showLegendKey val="0"/>
          <c:showVal val="0"/>
          <c:showCatName val="0"/>
          <c:showSerName val="0"/>
          <c:showPercent val="0"/>
          <c:showBubbleSize val="0"/>
        </c:dLbls>
        <c:gapWidth val="150"/>
        <c:axId val="108055552"/>
        <c:axId val="108052480"/>
      </c:barChart>
      <c:valAx>
        <c:axId val="108052480"/>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08055552"/>
        <c:crosses val="autoZero"/>
        <c:crossBetween val="between"/>
      </c:valAx>
      <c:catAx>
        <c:axId val="108055552"/>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08052480"/>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C622-A047-496D-B3F7-5FD6F26F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83</Pages>
  <Words>34075</Words>
  <Characters>204453</Characters>
  <Application>Microsoft Office Word</Application>
  <DocSecurity>0</DocSecurity>
  <Lines>1703</Lines>
  <Paragraphs>476</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3</cp:revision>
  <cp:lastPrinted>2018-05-02T10:06:00Z</cp:lastPrinted>
  <dcterms:created xsi:type="dcterms:W3CDTF">2018-06-08T08:45:00Z</dcterms:created>
  <dcterms:modified xsi:type="dcterms:W3CDTF">2018-06-08T10:52:00Z</dcterms:modified>
</cp:coreProperties>
</file>